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D507">
      <w:pPr>
        <w:pStyle w:val="5"/>
        <w:ind w:left="0"/>
        <w:rPr>
          <w:rFonts w:ascii="Times New Roman"/>
          <w:sz w:val="20"/>
          <w:highlight w:val="none"/>
        </w:rPr>
      </w:pPr>
    </w:p>
    <w:p w14:paraId="18A6C416">
      <w:pPr>
        <w:pStyle w:val="5"/>
        <w:ind w:left="0"/>
        <w:rPr>
          <w:rFonts w:ascii="Times New Roman"/>
          <w:sz w:val="20"/>
          <w:highlight w:val="none"/>
        </w:rPr>
      </w:pPr>
    </w:p>
    <w:p w14:paraId="4F687B7A">
      <w:pPr>
        <w:pStyle w:val="5"/>
        <w:spacing w:before="1"/>
        <w:ind w:left="0"/>
        <w:rPr>
          <w:sz w:val="64"/>
          <w:highlight w:val="none"/>
        </w:rPr>
      </w:pPr>
    </w:p>
    <w:p w14:paraId="37D89845">
      <w:pPr>
        <w:autoSpaceDE/>
        <w:autoSpaceDN/>
        <w:spacing w:line="360" w:lineRule="auto"/>
        <w:jc w:val="center"/>
        <w:rPr>
          <w:rFonts w:hint="eastAsia" w:ascii="黑体" w:hAnsi="黑体" w:eastAsia="黑体" w:cs="黑体"/>
          <w:sz w:val="72"/>
          <w:szCs w:val="72"/>
          <w:highlight w:val="none"/>
          <w:lang w:val="en-US" w:bidi="ar-SA"/>
        </w:rPr>
      </w:pPr>
      <w:r>
        <w:rPr>
          <w:rFonts w:hint="eastAsia" w:ascii="黑体" w:hAnsi="黑体" w:eastAsia="黑体" w:cs="黑体"/>
          <w:sz w:val="72"/>
          <w:szCs w:val="72"/>
          <w:highlight w:val="none"/>
          <w:lang w:val="en-US" w:bidi="ar-SA"/>
        </w:rPr>
        <w:t>社会责任报告</w:t>
      </w:r>
    </w:p>
    <w:p w14:paraId="33DA9784">
      <w:pPr>
        <w:autoSpaceDE/>
        <w:autoSpaceDN/>
        <w:spacing w:line="360" w:lineRule="auto"/>
        <w:jc w:val="both"/>
        <w:rPr>
          <w:rFonts w:hint="eastAsia" w:ascii="黑体" w:hAnsi="黑体" w:eastAsia="黑体" w:cs="黑体"/>
          <w:sz w:val="72"/>
          <w:szCs w:val="72"/>
          <w:highlight w:val="none"/>
          <w:lang w:val="en-US" w:bidi="ar-SA"/>
        </w:rPr>
      </w:pPr>
    </w:p>
    <w:p w14:paraId="15B1367C">
      <w:pPr>
        <w:autoSpaceDE/>
        <w:autoSpaceDN/>
        <w:spacing w:line="360" w:lineRule="auto"/>
        <w:jc w:val="center"/>
        <w:rPr>
          <w:rFonts w:hint="eastAsia" w:ascii="黑体" w:hAnsi="黑体" w:eastAsia="黑体" w:cs="黑体"/>
          <w:sz w:val="72"/>
          <w:szCs w:val="72"/>
          <w:highlight w:val="none"/>
          <w:lang w:val="en-US" w:bidi="ar-SA"/>
        </w:rPr>
      </w:pPr>
      <w:r>
        <w:rPr>
          <w:rFonts w:hint="eastAsia"/>
          <w:sz w:val="44"/>
          <w:szCs w:val="44"/>
          <w:highlight w:val="none"/>
          <w:lang w:val="en-US" w:eastAsia="zh-CN"/>
        </w:rPr>
        <w:drawing>
          <wp:inline distT="0" distB="0" distL="114300" distR="114300">
            <wp:extent cx="5644515" cy="4005580"/>
            <wp:effectExtent l="0" t="0" r="9525" b="2540"/>
            <wp:docPr id="7" name="图片 7" descr="173454795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34547952018"/>
                    <pic:cNvPicPr>
                      <a:picLocks noChangeAspect="1"/>
                    </pic:cNvPicPr>
                  </pic:nvPicPr>
                  <pic:blipFill>
                    <a:blip r:embed="rId10"/>
                    <a:stretch>
                      <a:fillRect/>
                    </a:stretch>
                  </pic:blipFill>
                  <pic:spPr>
                    <a:xfrm>
                      <a:off x="0" y="0"/>
                      <a:ext cx="5644515" cy="4005580"/>
                    </a:xfrm>
                    <a:prstGeom prst="rect">
                      <a:avLst/>
                    </a:prstGeom>
                  </pic:spPr>
                </pic:pic>
              </a:graphicData>
            </a:graphic>
          </wp:inline>
        </w:drawing>
      </w:r>
    </w:p>
    <w:p w14:paraId="3987910F">
      <w:pPr>
        <w:autoSpaceDE/>
        <w:autoSpaceDN/>
        <w:spacing w:line="360" w:lineRule="auto"/>
        <w:jc w:val="center"/>
        <w:rPr>
          <w:rFonts w:hint="eastAsia" w:ascii="黑体" w:hAnsi="黑体" w:eastAsia="黑体" w:cs="黑体"/>
          <w:sz w:val="72"/>
          <w:szCs w:val="72"/>
          <w:highlight w:val="none"/>
          <w:lang w:val="en-US" w:bidi="ar-SA"/>
        </w:rPr>
      </w:pPr>
    </w:p>
    <w:p w14:paraId="3E25F3F6">
      <w:pPr>
        <w:autoSpaceDE/>
        <w:autoSpaceDN/>
        <w:spacing w:line="360" w:lineRule="auto"/>
        <w:jc w:val="center"/>
        <w:rPr>
          <w:rFonts w:hint="eastAsia" w:ascii="黑体" w:hAnsi="黑体" w:eastAsia="黑体" w:cs="黑体"/>
          <w:sz w:val="72"/>
          <w:szCs w:val="72"/>
          <w:highlight w:val="none"/>
          <w:lang w:val="en-US" w:bidi="ar-SA"/>
        </w:rPr>
      </w:pPr>
      <w:r>
        <w:rPr>
          <w:rFonts w:hint="eastAsia" w:ascii="黑体" w:hAnsi="黑体" w:eastAsia="黑体" w:cs="黑体"/>
          <w:sz w:val="56"/>
          <w:szCs w:val="56"/>
          <w:highlight w:val="none"/>
          <w:lang w:val="en-US" w:eastAsia="zh-CN" w:bidi="ar-SA"/>
        </w:rPr>
        <w:t>浙江惠同新材料股份有限公司</w:t>
      </w:r>
    </w:p>
    <w:p w14:paraId="1B037640">
      <w:pPr>
        <w:autoSpaceDE/>
        <w:autoSpaceDN/>
        <w:spacing w:line="360" w:lineRule="auto"/>
        <w:jc w:val="center"/>
        <w:rPr>
          <w:rFonts w:hint="eastAsia" w:ascii="黑体" w:hAnsi="黑体" w:eastAsia="黑体" w:cs="黑体"/>
          <w:sz w:val="72"/>
          <w:szCs w:val="72"/>
          <w:highlight w:val="none"/>
          <w:lang w:val="en-US" w:bidi="ar-SA"/>
        </w:rPr>
      </w:pPr>
      <w:r>
        <w:rPr>
          <w:rFonts w:hint="eastAsia" w:ascii="黑体" w:hAnsi="黑体" w:eastAsia="黑体" w:cs="黑体"/>
          <w:sz w:val="72"/>
          <w:szCs w:val="72"/>
          <w:highlight w:val="none"/>
          <w:lang w:val="en-US" w:bidi="ar-SA"/>
        </w:rPr>
        <w:t>二0二</w:t>
      </w:r>
      <w:r>
        <w:rPr>
          <w:rFonts w:hint="eastAsia" w:ascii="黑体" w:hAnsi="黑体" w:eastAsia="黑体" w:cs="黑体"/>
          <w:sz w:val="72"/>
          <w:szCs w:val="72"/>
          <w:highlight w:val="none"/>
          <w:lang w:val="en-US" w:eastAsia="zh-CN" w:bidi="ar-SA"/>
        </w:rPr>
        <w:t>四</w:t>
      </w:r>
      <w:r>
        <w:rPr>
          <w:rFonts w:hint="eastAsia" w:ascii="黑体" w:hAnsi="黑体" w:eastAsia="黑体" w:cs="黑体"/>
          <w:sz w:val="72"/>
          <w:szCs w:val="72"/>
          <w:highlight w:val="none"/>
          <w:lang w:val="en-US" w:bidi="ar-SA"/>
        </w:rPr>
        <w:t>年</w:t>
      </w:r>
      <w:r>
        <w:rPr>
          <w:rFonts w:hint="eastAsia" w:ascii="黑体" w:hAnsi="黑体" w:eastAsia="黑体" w:cs="黑体"/>
          <w:sz w:val="72"/>
          <w:szCs w:val="72"/>
          <w:highlight w:val="none"/>
          <w:lang w:val="en-US" w:eastAsia="zh-CN" w:bidi="ar-SA"/>
        </w:rPr>
        <w:t>六</w:t>
      </w:r>
      <w:r>
        <w:rPr>
          <w:rFonts w:hint="eastAsia" w:ascii="黑体" w:hAnsi="黑体" w:eastAsia="黑体" w:cs="黑体"/>
          <w:sz w:val="72"/>
          <w:szCs w:val="72"/>
          <w:highlight w:val="none"/>
          <w:lang w:val="en-US" w:bidi="ar-SA"/>
        </w:rPr>
        <w:t>月</w:t>
      </w:r>
    </w:p>
    <w:p w14:paraId="2E8BBC55">
      <w:pPr>
        <w:spacing w:before="54"/>
        <w:ind w:right="242"/>
        <w:jc w:val="center"/>
        <w:rPr>
          <w:sz w:val="52"/>
          <w:highlight w:val="none"/>
        </w:rPr>
        <w:sectPr>
          <w:headerReference r:id="rId3" w:type="default"/>
          <w:footerReference r:id="rId4" w:type="default"/>
          <w:pgSz w:w="11910" w:h="16840"/>
          <w:pgMar w:top="1134" w:right="1134" w:bottom="1134" w:left="1134" w:header="877" w:footer="1197" w:gutter="0"/>
          <w:cols w:space="720" w:num="1"/>
        </w:sectPr>
      </w:pPr>
    </w:p>
    <w:p w14:paraId="6759F48F">
      <w:pPr>
        <w:spacing w:before="54"/>
        <w:ind w:right="242"/>
        <w:jc w:val="center"/>
        <w:rPr>
          <w:sz w:val="32"/>
          <w:highlight w:val="none"/>
        </w:rPr>
      </w:pPr>
      <w:r>
        <w:rPr>
          <w:sz w:val="32"/>
          <w:highlight w:val="none"/>
        </w:rPr>
        <w:t>报告编写说明</w:t>
      </w:r>
    </w:p>
    <w:p w14:paraId="67FF3AEA">
      <w:pPr>
        <w:pStyle w:val="15"/>
        <w:numPr>
          <w:ilvl w:val="0"/>
          <w:numId w:val="1"/>
        </w:numPr>
        <w:tabs>
          <w:tab w:val="left" w:pos="480"/>
        </w:tabs>
        <w:spacing w:before="66"/>
        <w:jc w:val="both"/>
        <w:rPr>
          <w:sz w:val="24"/>
          <w:highlight w:val="none"/>
        </w:rPr>
      </w:pPr>
      <w:r>
        <w:rPr>
          <w:sz w:val="24"/>
          <w:highlight w:val="none"/>
        </w:rPr>
        <w:t>报告简介</w:t>
      </w:r>
    </w:p>
    <w:p w14:paraId="5983FDD3">
      <w:pPr>
        <w:pStyle w:val="5"/>
        <w:spacing w:before="189" w:line="360" w:lineRule="auto"/>
        <w:ind w:left="121" w:leftChars="55" w:firstLine="480" w:firstLineChars="200"/>
        <w:rPr>
          <w:highlight w:val="none"/>
        </w:rPr>
      </w:pPr>
      <w:r>
        <w:rPr>
          <w:highlight w:val="none"/>
        </w:rPr>
        <w:t>《</w:t>
      </w:r>
      <w:r>
        <w:rPr>
          <w:rFonts w:hint="eastAsia"/>
          <w:highlight w:val="none"/>
          <w:lang w:eastAsia="zh-CN"/>
        </w:rPr>
        <w:t>浙江惠同新材料股份有限公司</w:t>
      </w:r>
      <w:r>
        <w:rPr>
          <w:rFonts w:hint="eastAsia"/>
          <w:highlight w:val="none"/>
          <w:lang w:eastAsia="zh-CN"/>
        </w:rPr>
        <w:t>2023</w:t>
      </w:r>
      <w:r>
        <w:rPr>
          <w:highlight w:val="none"/>
        </w:rPr>
        <w:t>年企业社会责任报告》是</w:t>
      </w:r>
      <w:r>
        <w:rPr>
          <w:rFonts w:hint="eastAsia"/>
          <w:highlight w:val="none"/>
          <w:lang w:eastAsia="zh-CN"/>
        </w:rPr>
        <w:t>浙江惠同新材料股份有限公司</w:t>
      </w:r>
      <w:r>
        <w:rPr>
          <w:spacing w:val="-3"/>
          <w:highlight w:val="none"/>
        </w:rPr>
        <w:t>发布的第一份企业社会责任报告。报告回顾了</w:t>
      </w:r>
      <w:r>
        <w:rPr>
          <w:rFonts w:hint="eastAsia"/>
          <w:spacing w:val="-3"/>
          <w:highlight w:val="none"/>
          <w:lang w:eastAsia="zh-CN"/>
        </w:rPr>
        <w:t>惠同</w:t>
      </w:r>
      <w:r>
        <w:rPr>
          <w:rFonts w:hint="eastAsia"/>
          <w:highlight w:val="none"/>
        </w:rPr>
        <w:t>20</w:t>
      </w:r>
      <w:r>
        <w:rPr>
          <w:rFonts w:hint="eastAsia"/>
          <w:highlight w:val="none"/>
          <w:lang w:val="en-US" w:eastAsia="zh-CN"/>
        </w:rPr>
        <w:t>23</w:t>
      </w:r>
      <w:r>
        <w:rPr>
          <w:spacing w:val="-11"/>
          <w:highlight w:val="none"/>
        </w:rPr>
        <w:t>年所面临的机遇</w:t>
      </w:r>
      <w:r>
        <w:rPr>
          <w:highlight w:val="none"/>
        </w:rPr>
        <w:t>与挑战，披露了相关的社会责任实践和绩效。</w:t>
      </w:r>
    </w:p>
    <w:p w14:paraId="31C3D428">
      <w:pPr>
        <w:pStyle w:val="15"/>
        <w:numPr>
          <w:ilvl w:val="0"/>
          <w:numId w:val="1"/>
        </w:numPr>
        <w:tabs>
          <w:tab w:val="left" w:pos="480"/>
        </w:tabs>
        <w:spacing w:before="0" w:line="305" w:lineRule="exact"/>
        <w:rPr>
          <w:sz w:val="24"/>
          <w:highlight w:val="none"/>
        </w:rPr>
      </w:pPr>
      <w:r>
        <w:rPr>
          <w:sz w:val="24"/>
          <w:highlight w:val="none"/>
        </w:rPr>
        <w:t>时间范围</w:t>
      </w:r>
    </w:p>
    <w:p w14:paraId="30048F16">
      <w:pPr>
        <w:pStyle w:val="5"/>
        <w:spacing w:before="187"/>
        <w:ind w:left="600"/>
        <w:rPr>
          <w:highlight w:val="none"/>
        </w:rPr>
      </w:pPr>
      <w:r>
        <w:rPr>
          <w:highlight w:val="none"/>
        </w:rPr>
        <w:t xml:space="preserve">报告中的 </w:t>
      </w:r>
      <w:r>
        <w:rPr>
          <w:rFonts w:hint="eastAsia"/>
          <w:highlight w:val="none"/>
        </w:rPr>
        <w:t>20</w:t>
      </w:r>
      <w:r>
        <w:rPr>
          <w:rFonts w:hint="eastAsia"/>
          <w:highlight w:val="none"/>
          <w:lang w:val="en-US" w:eastAsia="zh-CN"/>
        </w:rPr>
        <w:t>23</w:t>
      </w:r>
      <w:r>
        <w:rPr>
          <w:highlight w:val="none"/>
        </w:rPr>
        <w:t xml:space="preserve">年均指 </w:t>
      </w:r>
      <w:r>
        <w:rPr>
          <w:rFonts w:hint="eastAsia"/>
          <w:highlight w:val="none"/>
        </w:rPr>
        <w:t>20</w:t>
      </w:r>
      <w:r>
        <w:rPr>
          <w:rFonts w:hint="eastAsia"/>
          <w:highlight w:val="none"/>
          <w:lang w:val="en-US" w:eastAsia="zh-CN"/>
        </w:rPr>
        <w:t>23</w:t>
      </w:r>
      <w:r>
        <w:rPr>
          <w:rFonts w:hint="eastAsia"/>
          <w:highlight w:val="none"/>
        </w:rPr>
        <w:t>全</w:t>
      </w:r>
      <w:r>
        <w:rPr>
          <w:highlight w:val="none"/>
        </w:rPr>
        <w:t>年。</w:t>
      </w:r>
    </w:p>
    <w:p w14:paraId="706D2AAF">
      <w:pPr>
        <w:pStyle w:val="15"/>
        <w:numPr>
          <w:ilvl w:val="0"/>
          <w:numId w:val="1"/>
        </w:numPr>
        <w:tabs>
          <w:tab w:val="left" w:pos="480"/>
        </w:tabs>
        <w:spacing w:before="189"/>
        <w:jc w:val="both"/>
        <w:rPr>
          <w:sz w:val="24"/>
          <w:highlight w:val="none"/>
        </w:rPr>
      </w:pPr>
      <w:r>
        <w:rPr>
          <w:sz w:val="24"/>
          <w:highlight w:val="none"/>
        </w:rPr>
        <w:t>发布周期</w:t>
      </w:r>
    </w:p>
    <w:p w14:paraId="5B8BA16B">
      <w:pPr>
        <w:pStyle w:val="5"/>
        <w:spacing w:before="190"/>
        <w:ind w:left="600"/>
        <w:rPr>
          <w:highlight w:val="none"/>
        </w:rPr>
      </w:pPr>
      <w:r>
        <w:rPr>
          <w:highlight w:val="none"/>
        </w:rPr>
        <w:t>本报告为年度报告。</w:t>
      </w:r>
    </w:p>
    <w:p w14:paraId="2E9F1986">
      <w:pPr>
        <w:pStyle w:val="15"/>
        <w:numPr>
          <w:ilvl w:val="0"/>
          <w:numId w:val="1"/>
        </w:numPr>
        <w:tabs>
          <w:tab w:val="left" w:pos="480"/>
        </w:tabs>
        <w:spacing w:before="187"/>
        <w:jc w:val="both"/>
        <w:rPr>
          <w:sz w:val="24"/>
          <w:highlight w:val="none"/>
        </w:rPr>
      </w:pPr>
      <w:r>
        <w:rPr>
          <w:sz w:val="24"/>
          <w:highlight w:val="none"/>
        </w:rPr>
        <w:t>报告范围</w:t>
      </w:r>
    </w:p>
    <w:p w14:paraId="62F1C4A7">
      <w:pPr>
        <w:pStyle w:val="5"/>
        <w:spacing w:before="189"/>
        <w:ind w:left="600"/>
        <w:rPr>
          <w:highlight w:val="none"/>
        </w:rPr>
      </w:pPr>
      <w:r>
        <w:rPr>
          <w:highlight w:val="none"/>
        </w:rPr>
        <w:t>与</w:t>
      </w:r>
      <w:r>
        <w:rPr>
          <w:rFonts w:hint="eastAsia"/>
          <w:highlight w:val="none"/>
          <w:lang w:eastAsia="zh-CN"/>
        </w:rPr>
        <w:t>浙江惠同新材料股份有限公司</w:t>
      </w:r>
      <w:r>
        <w:rPr>
          <w:highlight w:val="none"/>
        </w:rPr>
        <w:t>的业务范围一致。</w:t>
      </w:r>
    </w:p>
    <w:p w14:paraId="5B896BB3">
      <w:pPr>
        <w:pStyle w:val="15"/>
        <w:numPr>
          <w:ilvl w:val="0"/>
          <w:numId w:val="1"/>
        </w:numPr>
        <w:tabs>
          <w:tab w:val="left" w:pos="480"/>
        </w:tabs>
        <w:spacing w:before="189"/>
        <w:jc w:val="both"/>
        <w:rPr>
          <w:sz w:val="24"/>
          <w:highlight w:val="none"/>
        </w:rPr>
      </w:pPr>
      <w:r>
        <w:rPr>
          <w:sz w:val="24"/>
          <w:highlight w:val="none"/>
        </w:rPr>
        <w:t>数据来源</w:t>
      </w:r>
    </w:p>
    <w:p w14:paraId="7F9CAF51">
      <w:pPr>
        <w:pStyle w:val="5"/>
        <w:spacing w:before="187" w:line="388" w:lineRule="auto"/>
        <w:ind w:right="360" w:firstLine="480"/>
        <w:jc w:val="both"/>
        <w:rPr>
          <w:highlight w:val="none"/>
        </w:rPr>
      </w:pPr>
      <w:r>
        <w:rPr>
          <w:spacing w:val="-5"/>
          <w:highlight w:val="none"/>
        </w:rPr>
        <w:t>报告使用数据来自</w:t>
      </w:r>
      <w:r>
        <w:rPr>
          <w:rFonts w:hint="eastAsia"/>
          <w:spacing w:val="-5"/>
          <w:highlight w:val="none"/>
          <w:lang w:eastAsia="zh-CN"/>
        </w:rPr>
        <w:t>惠同</w:t>
      </w:r>
      <w:r>
        <w:rPr>
          <w:rFonts w:hint="eastAsia"/>
          <w:highlight w:val="none"/>
          <w:lang w:eastAsia="zh-CN"/>
        </w:rPr>
        <w:t>2023</w:t>
      </w:r>
      <w:r>
        <w:rPr>
          <w:spacing w:val="-8"/>
          <w:highlight w:val="none"/>
        </w:rPr>
        <w:t>年报，以及公司正式文件和统计报告。</w:t>
      </w:r>
      <w:r>
        <w:rPr>
          <w:spacing w:val="-14"/>
          <w:highlight w:val="none"/>
        </w:rPr>
        <w:t>部门数据由于数据统计和口径的原因，有不完善的地方。我们将在日后不断完善</w:t>
      </w:r>
      <w:r>
        <w:rPr>
          <w:highlight w:val="none"/>
        </w:rPr>
        <w:t>数据指标统计系统，以保证将来提供更加全面的信息。</w:t>
      </w:r>
    </w:p>
    <w:p w14:paraId="01D36204">
      <w:pPr>
        <w:pStyle w:val="15"/>
        <w:numPr>
          <w:ilvl w:val="0"/>
          <w:numId w:val="1"/>
        </w:numPr>
        <w:tabs>
          <w:tab w:val="left" w:pos="480"/>
        </w:tabs>
        <w:spacing w:before="0" w:line="301" w:lineRule="exact"/>
        <w:jc w:val="both"/>
        <w:rPr>
          <w:sz w:val="24"/>
          <w:highlight w:val="none"/>
        </w:rPr>
      </w:pPr>
      <w:r>
        <w:rPr>
          <w:sz w:val="24"/>
          <w:highlight w:val="none"/>
        </w:rPr>
        <w:t>指代说明</w:t>
      </w:r>
    </w:p>
    <w:p w14:paraId="03C6E1D1">
      <w:pPr>
        <w:pStyle w:val="5"/>
        <w:spacing w:before="189" w:line="388" w:lineRule="auto"/>
        <w:ind w:right="358" w:firstLine="480"/>
        <w:rPr>
          <w:highlight w:val="none"/>
        </w:rPr>
      </w:pPr>
      <w:r>
        <w:rPr>
          <w:spacing w:val="-26"/>
          <w:highlight w:val="none"/>
        </w:rPr>
        <w:t>为便于表述，报告中“公司”、“我们”、 “</w:t>
      </w:r>
      <w:r>
        <w:rPr>
          <w:rFonts w:hint="eastAsia"/>
          <w:spacing w:val="-26"/>
          <w:highlight w:val="none"/>
          <w:lang w:eastAsia="zh-CN"/>
        </w:rPr>
        <w:t>惠同</w:t>
      </w:r>
      <w:r>
        <w:rPr>
          <w:spacing w:val="-26"/>
          <w:highlight w:val="none"/>
        </w:rPr>
        <w:t>”均指代</w:t>
      </w:r>
      <w:r>
        <w:rPr>
          <w:spacing w:val="-11"/>
          <w:highlight w:val="none"/>
        </w:rPr>
        <w:t>“</w:t>
      </w:r>
      <w:r>
        <w:rPr>
          <w:rFonts w:hint="eastAsia"/>
          <w:spacing w:val="-11"/>
          <w:highlight w:val="none"/>
          <w:lang w:eastAsia="zh-CN"/>
        </w:rPr>
        <w:t>浙江惠同新材料股份有限公司</w:t>
      </w:r>
      <w:r>
        <w:rPr>
          <w:spacing w:val="-11"/>
          <w:highlight w:val="none"/>
        </w:rPr>
        <w:t>”。</w:t>
      </w:r>
    </w:p>
    <w:p w14:paraId="02798F38">
      <w:pPr>
        <w:spacing w:line="388" w:lineRule="auto"/>
        <w:rPr>
          <w:highlight w:val="none"/>
        </w:rPr>
        <w:sectPr>
          <w:pgSz w:w="11910" w:h="16840"/>
          <w:pgMar w:top="1420" w:right="1440" w:bottom="1380" w:left="1680" w:header="877" w:footer="1197" w:gutter="0"/>
          <w:cols w:space="720" w:num="1"/>
        </w:sectPr>
      </w:pPr>
    </w:p>
    <w:sdt>
      <w:sdtPr>
        <w:rPr>
          <w:rFonts w:hint="eastAsia" w:ascii="宋体" w:hAnsi="宋体" w:eastAsia="宋体" w:cs="宋体"/>
          <w:color w:val="auto"/>
          <w:sz w:val="22"/>
          <w:szCs w:val="22"/>
          <w:highlight w:val="none"/>
          <w:lang w:val="zh-CN" w:bidi="zh-CN"/>
        </w:rPr>
        <w:id w:val="1619027494"/>
        <w:docPartObj>
          <w:docPartGallery w:val="Table of Contents"/>
          <w:docPartUnique/>
        </w:docPartObj>
      </w:sdtPr>
      <w:sdtEndPr>
        <w:rPr>
          <w:rFonts w:hint="eastAsia" w:ascii="宋体" w:hAnsi="宋体" w:eastAsia="宋体" w:cs="宋体"/>
          <w:b/>
          <w:bCs/>
          <w:color w:val="auto"/>
          <w:sz w:val="22"/>
          <w:szCs w:val="22"/>
          <w:highlight w:val="none"/>
          <w:lang w:val="zh-CN" w:bidi="zh-CN"/>
        </w:rPr>
      </w:sdtEndPr>
      <w:sdtContent>
        <w:p w14:paraId="2C243027">
          <w:pPr>
            <w:pStyle w:val="20"/>
            <w:jc w:val="center"/>
            <w:rPr>
              <w:rFonts w:hint="eastAsia" w:ascii="宋体" w:hAnsi="宋体" w:eastAsia="宋体" w:cs="宋体"/>
              <w:color w:val="auto"/>
              <w:sz w:val="22"/>
              <w:szCs w:val="22"/>
              <w:highlight w:val="none"/>
              <w:lang w:val="zh-CN" w:bidi="zh-CN"/>
            </w:rPr>
          </w:pPr>
        </w:p>
        <w:p w14:paraId="2903CB98">
          <w:pPr>
            <w:pStyle w:val="20"/>
            <w:jc w:val="center"/>
            <w:rPr>
              <w:rFonts w:hint="eastAsia" w:ascii="宋体" w:hAnsi="宋体" w:eastAsia="宋体" w:cs="宋体"/>
              <w:color w:val="auto"/>
              <w:highlight w:val="none"/>
            </w:rPr>
          </w:pPr>
          <w:r>
            <w:rPr>
              <w:rFonts w:hint="eastAsia" w:ascii="宋体" w:hAnsi="宋体" w:eastAsia="宋体" w:cs="宋体"/>
              <w:color w:val="auto"/>
              <w:highlight w:val="none"/>
              <w:lang w:val="zh-CN"/>
            </w:rPr>
            <w:t>目录</w:t>
          </w:r>
        </w:p>
        <w:p w14:paraId="0FB6EC1E">
          <w:pPr>
            <w:pStyle w:val="10"/>
            <w:tabs>
              <w:tab w:val="right" w:leader="dot" w:pos="8780"/>
            </w:tabs>
            <w:rPr>
              <w:rFonts w:asciiTheme="minorHAnsi" w:hAnsiTheme="minorHAnsi" w:eastAsiaTheme="minorEastAsia" w:cstheme="minorBidi"/>
              <w:kern w:val="2"/>
              <w:sz w:val="21"/>
              <w:szCs w:val="22"/>
              <w:highlight w:val="none"/>
              <w:lang w:val="en-US" w:bidi="ar-SA"/>
            </w:rPr>
          </w:pPr>
          <w:r>
            <w:rPr>
              <w:highlight w:val="none"/>
            </w:rPr>
            <w:fldChar w:fldCharType="begin"/>
          </w:r>
          <w:r>
            <w:rPr>
              <w:highlight w:val="none"/>
            </w:rPr>
            <w:instrText xml:space="preserve"> TOC \o "1-3" \h \z \u </w:instrText>
          </w:r>
          <w:r>
            <w:rPr>
              <w:highlight w:val="none"/>
            </w:rPr>
            <w:fldChar w:fldCharType="separate"/>
          </w:r>
          <w:r>
            <w:rPr>
              <w:highlight w:val="none"/>
            </w:rPr>
            <w:fldChar w:fldCharType="begin"/>
          </w:r>
          <w:r>
            <w:rPr>
              <w:highlight w:val="none"/>
            </w:rPr>
            <w:instrText xml:space="preserve"> HYPERLINK \l "_Toc24531704" </w:instrText>
          </w:r>
          <w:r>
            <w:rPr>
              <w:highlight w:val="none"/>
            </w:rPr>
            <w:fldChar w:fldCharType="separate"/>
          </w:r>
          <w:r>
            <w:rPr>
              <w:rStyle w:val="13"/>
              <w:highlight w:val="none"/>
            </w:rPr>
            <w:t>公司概况</w:t>
          </w:r>
          <w:r>
            <w:rPr>
              <w:highlight w:val="none"/>
            </w:rPr>
            <w:tab/>
          </w:r>
          <w:r>
            <w:rPr>
              <w:highlight w:val="none"/>
            </w:rPr>
            <w:fldChar w:fldCharType="begin"/>
          </w:r>
          <w:r>
            <w:rPr>
              <w:highlight w:val="none"/>
            </w:rPr>
            <w:instrText xml:space="preserve"> PAGEREF _Toc24531704 \h </w:instrText>
          </w:r>
          <w:r>
            <w:rPr>
              <w:highlight w:val="none"/>
            </w:rPr>
            <w:fldChar w:fldCharType="separate"/>
          </w:r>
          <w:r>
            <w:rPr>
              <w:highlight w:val="none"/>
            </w:rPr>
            <w:t>4</w:t>
          </w:r>
          <w:r>
            <w:rPr>
              <w:highlight w:val="none"/>
            </w:rPr>
            <w:fldChar w:fldCharType="end"/>
          </w:r>
          <w:r>
            <w:rPr>
              <w:highlight w:val="none"/>
            </w:rPr>
            <w:fldChar w:fldCharType="end"/>
          </w:r>
        </w:p>
        <w:p w14:paraId="34176204">
          <w:pPr>
            <w:pStyle w:val="10"/>
            <w:tabs>
              <w:tab w:val="right" w:leader="dot" w:pos="8780"/>
            </w:tabs>
            <w:rPr>
              <w:rFonts w:asciiTheme="minorHAnsi" w:hAnsiTheme="minorHAnsi" w:eastAsiaTheme="minorEastAsia" w:cstheme="minorBidi"/>
              <w:kern w:val="2"/>
              <w:sz w:val="21"/>
              <w:szCs w:val="22"/>
              <w:highlight w:val="none"/>
              <w:lang w:val="en-US" w:bidi="ar-SA"/>
            </w:rPr>
          </w:pPr>
          <w:r>
            <w:rPr>
              <w:highlight w:val="none"/>
            </w:rPr>
            <w:fldChar w:fldCharType="begin"/>
          </w:r>
          <w:r>
            <w:rPr>
              <w:highlight w:val="none"/>
            </w:rPr>
            <w:instrText xml:space="preserve"> HYPERLINK \l "_Toc24531705" </w:instrText>
          </w:r>
          <w:r>
            <w:rPr>
              <w:highlight w:val="none"/>
            </w:rPr>
            <w:fldChar w:fldCharType="separate"/>
          </w:r>
          <w:r>
            <w:rPr>
              <w:rStyle w:val="13"/>
              <w:highlight w:val="none"/>
            </w:rPr>
            <w:t>一、责任聚焦</w:t>
          </w:r>
          <w:r>
            <w:rPr>
              <w:highlight w:val="none"/>
            </w:rPr>
            <w:tab/>
          </w:r>
          <w:r>
            <w:rPr>
              <w:highlight w:val="none"/>
            </w:rPr>
            <w:fldChar w:fldCharType="begin"/>
          </w:r>
          <w:r>
            <w:rPr>
              <w:highlight w:val="none"/>
            </w:rPr>
            <w:instrText xml:space="preserve"> PAGEREF _Toc24531705 \h </w:instrText>
          </w:r>
          <w:r>
            <w:rPr>
              <w:highlight w:val="none"/>
            </w:rPr>
            <w:fldChar w:fldCharType="separate"/>
          </w:r>
          <w:r>
            <w:rPr>
              <w:highlight w:val="none"/>
            </w:rPr>
            <w:t>4</w:t>
          </w:r>
          <w:r>
            <w:rPr>
              <w:highlight w:val="none"/>
            </w:rPr>
            <w:fldChar w:fldCharType="end"/>
          </w:r>
          <w:r>
            <w:rPr>
              <w:highlight w:val="none"/>
            </w:rPr>
            <w:fldChar w:fldCharType="end"/>
          </w:r>
        </w:p>
        <w:p w14:paraId="3F5B13F3">
          <w:pPr>
            <w:pStyle w:val="10"/>
            <w:tabs>
              <w:tab w:val="right" w:leader="dot" w:pos="8780"/>
            </w:tabs>
            <w:rPr>
              <w:rFonts w:asciiTheme="minorHAnsi" w:hAnsiTheme="minorHAnsi" w:eastAsiaTheme="minorEastAsia" w:cstheme="minorBidi"/>
              <w:kern w:val="2"/>
              <w:sz w:val="21"/>
              <w:szCs w:val="22"/>
              <w:highlight w:val="none"/>
              <w:lang w:val="en-US" w:bidi="ar-SA"/>
            </w:rPr>
          </w:pPr>
          <w:r>
            <w:rPr>
              <w:highlight w:val="none"/>
            </w:rPr>
            <w:fldChar w:fldCharType="begin"/>
          </w:r>
          <w:r>
            <w:rPr>
              <w:highlight w:val="none"/>
            </w:rPr>
            <w:instrText xml:space="preserve"> HYPERLINK \l "_Toc24531706" </w:instrText>
          </w:r>
          <w:r>
            <w:rPr>
              <w:highlight w:val="none"/>
            </w:rPr>
            <w:fldChar w:fldCharType="separate"/>
          </w:r>
          <w:r>
            <w:rPr>
              <w:rStyle w:val="13"/>
              <w:highlight w:val="none"/>
            </w:rPr>
            <w:t>二、战略与管理</w:t>
          </w:r>
          <w:r>
            <w:rPr>
              <w:highlight w:val="none"/>
            </w:rPr>
            <w:tab/>
          </w:r>
          <w:r>
            <w:rPr>
              <w:highlight w:val="none"/>
            </w:rPr>
            <w:fldChar w:fldCharType="begin"/>
          </w:r>
          <w:r>
            <w:rPr>
              <w:highlight w:val="none"/>
            </w:rPr>
            <w:instrText xml:space="preserve"> PAGEREF _Toc24531706 \h </w:instrText>
          </w:r>
          <w:r>
            <w:rPr>
              <w:highlight w:val="none"/>
            </w:rPr>
            <w:fldChar w:fldCharType="separate"/>
          </w:r>
          <w:r>
            <w:rPr>
              <w:highlight w:val="none"/>
            </w:rPr>
            <w:t>7</w:t>
          </w:r>
          <w:r>
            <w:rPr>
              <w:highlight w:val="none"/>
            </w:rPr>
            <w:fldChar w:fldCharType="end"/>
          </w:r>
          <w:r>
            <w:rPr>
              <w:highlight w:val="none"/>
            </w:rPr>
            <w:fldChar w:fldCharType="end"/>
          </w:r>
        </w:p>
        <w:p w14:paraId="579FC3F1">
          <w:pPr>
            <w:pStyle w:val="10"/>
            <w:tabs>
              <w:tab w:val="right" w:leader="dot" w:pos="8780"/>
            </w:tabs>
            <w:rPr>
              <w:rFonts w:asciiTheme="minorHAnsi" w:hAnsiTheme="minorHAnsi" w:eastAsiaTheme="minorEastAsia" w:cstheme="minorBidi"/>
              <w:kern w:val="2"/>
              <w:sz w:val="21"/>
              <w:szCs w:val="22"/>
              <w:highlight w:val="none"/>
              <w:lang w:val="en-US" w:bidi="ar-SA"/>
            </w:rPr>
          </w:pPr>
          <w:r>
            <w:rPr>
              <w:highlight w:val="none"/>
            </w:rPr>
            <w:fldChar w:fldCharType="begin"/>
          </w:r>
          <w:r>
            <w:rPr>
              <w:highlight w:val="none"/>
            </w:rPr>
            <w:instrText xml:space="preserve"> HYPERLINK \l "_Toc24531707" </w:instrText>
          </w:r>
          <w:r>
            <w:rPr>
              <w:highlight w:val="none"/>
            </w:rPr>
            <w:fldChar w:fldCharType="separate"/>
          </w:r>
          <w:r>
            <w:rPr>
              <w:rStyle w:val="13"/>
              <w:highlight w:val="none"/>
            </w:rPr>
            <w:t>三、守法合规</w:t>
          </w:r>
          <w:r>
            <w:rPr>
              <w:highlight w:val="none"/>
            </w:rPr>
            <w:tab/>
          </w:r>
          <w:r>
            <w:rPr>
              <w:rFonts w:hint="eastAsia"/>
              <w:highlight w:val="none"/>
            </w:rPr>
            <w:t>19</w:t>
          </w:r>
          <w:r>
            <w:rPr>
              <w:rFonts w:hint="eastAsia"/>
              <w:highlight w:val="none"/>
            </w:rPr>
            <w:fldChar w:fldCharType="end"/>
          </w:r>
        </w:p>
        <w:p w14:paraId="21E2ADF4">
          <w:pPr>
            <w:pStyle w:val="10"/>
            <w:tabs>
              <w:tab w:val="right" w:leader="dot" w:pos="8780"/>
            </w:tabs>
            <w:rPr>
              <w:rFonts w:asciiTheme="minorHAnsi" w:hAnsiTheme="minorHAnsi" w:eastAsiaTheme="minorEastAsia" w:cstheme="minorBidi"/>
              <w:kern w:val="2"/>
              <w:sz w:val="21"/>
              <w:szCs w:val="22"/>
              <w:highlight w:val="none"/>
              <w:lang w:val="en-US" w:bidi="ar-SA"/>
            </w:rPr>
          </w:pPr>
          <w:r>
            <w:rPr>
              <w:highlight w:val="none"/>
            </w:rPr>
            <w:fldChar w:fldCharType="begin"/>
          </w:r>
          <w:r>
            <w:rPr>
              <w:highlight w:val="none"/>
            </w:rPr>
            <w:instrText xml:space="preserve"> HYPERLINK \l "_Toc24531708" </w:instrText>
          </w:r>
          <w:r>
            <w:rPr>
              <w:highlight w:val="none"/>
            </w:rPr>
            <w:fldChar w:fldCharType="separate"/>
          </w:r>
          <w:r>
            <w:rPr>
              <w:rStyle w:val="13"/>
              <w:highlight w:val="none"/>
            </w:rPr>
            <w:t>四、回报股东</w:t>
          </w:r>
          <w:r>
            <w:rPr>
              <w:highlight w:val="none"/>
            </w:rPr>
            <w:tab/>
          </w:r>
          <w:r>
            <w:rPr>
              <w:rFonts w:hint="eastAsia"/>
              <w:highlight w:val="none"/>
            </w:rPr>
            <w:t>19</w:t>
          </w:r>
          <w:r>
            <w:rPr>
              <w:rFonts w:hint="eastAsia"/>
              <w:highlight w:val="none"/>
            </w:rPr>
            <w:fldChar w:fldCharType="end"/>
          </w:r>
        </w:p>
        <w:p w14:paraId="08A90F7F">
          <w:pPr>
            <w:pStyle w:val="10"/>
            <w:tabs>
              <w:tab w:val="right" w:leader="dot" w:pos="8780"/>
            </w:tabs>
            <w:rPr>
              <w:rFonts w:asciiTheme="minorHAnsi" w:hAnsiTheme="minorHAnsi" w:eastAsiaTheme="minorEastAsia" w:cstheme="minorBidi"/>
              <w:kern w:val="2"/>
              <w:sz w:val="21"/>
              <w:szCs w:val="22"/>
              <w:highlight w:val="none"/>
              <w:lang w:val="en-US" w:bidi="ar-SA"/>
            </w:rPr>
          </w:pPr>
          <w:r>
            <w:rPr>
              <w:highlight w:val="none"/>
            </w:rPr>
            <w:fldChar w:fldCharType="begin"/>
          </w:r>
          <w:r>
            <w:rPr>
              <w:highlight w:val="none"/>
            </w:rPr>
            <w:instrText xml:space="preserve"> HYPERLINK \l "_Toc24531709" </w:instrText>
          </w:r>
          <w:r>
            <w:rPr>
              <w:highlight w:val="none"/>
            </w:rPr>
            <w:fldChar w:fldCharType="separate"/>
          </w:r>
          <w:r>
            <w:rPr>
              <w:rStyle w:val="13"/>
              <w:highlight w:val="none"/>
            </w:rPr>
            <w:t>五、服务客户</w:t>
          </w:r>
          <w:r>
            <w:rPr>
              <w:highlight w:val="none"/>
            </w:rPr>
            <w:tab/>
          </w:r>
          <w:r>
            <w:rPr>
              <w:rFonts w:hint="eastAsia"/>
              <w:highlight w:val="none"/>
            </w:rPr>
            <w:t>19</w:t>
          </w:r>
          <w:r>
            <w:rPr>
              <w:rFonts w:hint="eastAsia"/>
              <w:highlight w:val="none"/>
            </w:rPr>
            <w:fldChar w:fldCharType="end"/>
          </w:r>
        </w:p>
        <w:p w14:paraId="004BE8BA">
          <w:pPr>
            <w:pStyle w:val="10"/>
            <w:tabs>
              <w:tab w:val="right" w:leader="dot" w:pos="8780"/>
            </w:tabs>
            <w:rPr>
              <w:rFonts w:asciiTheme="minorHAnsi" w:hAnsiTheme="minorHAnsi" w:eastAsiaTheme="minorEastAsia" w:cstheme="minorBidi"/>
              <w:kern w:val="2"/>
              <w:sz w:val="21"/>
              <w:szCs w:val="22"/>
              <w:highlight w:val="none"/>
              <w:lang w:val="en-US" w:bidi="ar-SA"/>
            </w:rPr>
          </w:pPr>
          <w:r>
            <w:rPr>
              <w:highlight w:val="none"/>
            </w:rPr>
            <w:fldChar w:fldCharType="begin"/>
          </w:r>
          <w:r>
            <w:rPr>
              <w:highlight w:val="none"/>
            </w:rPr>
            <w:instrText xml:space="preserve"> HYPERLINK \l "_Toc24531710" </w:instrText>
          </w:r>
          <w:r>
            <w:rPr>
              <w:highlight w:val="none"/>
            </w:rPr>
            <w:fldChar w:fldCharType="separate"/>
          </w:r>
          <w:r>
            <w:rPr>
              <w:rStyle w:val="13"/>
              <w:highlight w:val="none"/>
            </w:rPr>
            <w:t>六、造福员工</w:t>
          </w:r>
          <w:r>
            <w:rPr>
              <w:highlight w:val="none"/>
            </w:rPr>
            <w:tab/>
          </w:r>
          <w:r>
            <w:rPr>
              <w:highlight w:val="none"/>
            </w:rPr>
            <w:fldChar w:fldCharType="begin"/>
          </w:r>
          <w:r>
            <w:rPr>
              <w:highlight w:val="none"/>
            </w:rPr>
            <w:instrText xml:space="preserve"> PAGEREF _Toc24531710 \h </w:instrText>
          </w:r>
          <w:r>
            <w:rPr>
              <w:highlight w:val="none"/>
            </w:rPr>
            <w:fldChar w:fldCharType="separate"/>
          </w:r>
          <w:r>
            <w:rPr>
              <w:highlight w:val="none"/>
            </w:rPr>
            <w:t>17</w:t>
          </w:r>
          <w:r>
            <w:rPr>
              <w:highlight w:val="none"/>
            </w:rPr>
            <w:fldChar w:fldCharType="end"/>
          </w:r>
          <w:r>
            <w:rPr>
              <w:highlight w:val="none"/>
            </w:rPr>
            <w:fldChar w:fldCharType="end"/>
          </w:r>
        </w:p>
        <w:p w14:paraId="6831B07C">
          <w:pPr>
            <w:pStyle w:val="10"/>
            <w:tabs>
              <w:tab w:val="right" w:leader="dot" w:pos="8780"/>
            </w:tabs>
            <w:rPr>
              <w:rFonts w:asciiTheme="minorHAnsi" w:hAnsiTheme="minorHAnsi" w:eastAsiaTheme="minorEastAsia" w:cstheme="minorBidi"/>
              <w:kern w:val="2"/>
              <w:sz w:val="21"/>
              <w:szCs w:val="22"/>
              <w:highlight w:val="none"/>
              <w:lang w:val="en-US" w:bidi="ar-SA"/>
            </w:rPr>
          </w:pPr>
          <w:r>
            <w:rPr>
              <w:highlight w:val="none"/>
            </w:rPr>
            <w:fldChar w:fldCharType="begin"/>
          </w:r>
          <w:r>
            <w:rPr>
              <w:highlight w:val="none"/>
            </w:rPr>
            <w:instrText xml:space="preserve"> HYPERLINK \l "_Toc24531711" </w:instrText>
          </w:r>
          <w:r>
            <w:rPr>
              <w:highlight w:val="none"/>
            </w:rPr>
            <w:fldChar w:fldCharType="separate"/>
          </w:r>
          <w:r>
            <w:rPr>
              <w:rStyle w:val="13"/>
              <w:highlight w:val="none"/>
            </w:rPr>
            <w:t>七、奉献社会</w:t>
          </w:r>
          <w:r>
            <w:rPr>
              <w:highlight w:val="none"/>
            </w:rPr>
            <w:tab/>
          </w:r>
          <w:r>
            <w:rPr>
              <w:highlight w:val="none"/>
            </w:rPr>
            <w:fldChar w:fldCharType="begin"/>
          </w:r>
          <w:r>
            <w:rPr>
              <w:highlight w:val="none"/>
            </w:rPr>
            <w:instrText xml:space="preserve"> PAGEREF _Toc24531711 \h </w:instrText>
          </w:r>
          <w:r>
            <w:rPr>
              <w:highlight w:val="none"/>
            </w:rPr>
            <w:fldChar w:fldCharType="separate"/>
          </w:r>
          <w:r>
            <w:rPr>
              <w:highlight w:val="none"/>
            </w:rPr>
            <w:t>19</w:t>
          </w:r>
          <w:r>
            <w:rPr>
              <w:highlight w:val="none"/>
            </w:rPr>
            <w:fldChar w:fldCharType="end"/>
          </w:r>
          <w:r>
            <w:rPr>
              <w:highlight w:val="none"/>
            </w:rPr>
            <w:fldChar w:fldCharType="end"/>
          </w:r>
        </w:p>
        <w:p w14:paraId="75CADC15">
          <w:pPr>
            <w:pStyle w:val="10"/>
            <w:tabs>
              <w:tab w:val="right" w:leader="dot" w:pos="8780"/>
            </w:tabs>
            <w:rPr>
              <w:rFonts w:asciiTheme="minorHAnsi" w:hAnsiTheme="minorHAnsi" w:eastAsiaTheme="minorEastAsia" w:cstheme="minorBidi"/>
              <w:kern w:val="2"/>
              <w:sz w:val="21"/>
              <w:szCs w:val="22"/>
              <w:highlight w:val="none"/>
              <w:lang w:val="en-US" w:bidi="ar-SA"/>
            </w:rPr>
          </w:pPr>
          <w:r>
            <w:rPr>
              <w:highlight w:val="none"/>
            </w:rPr>
            <w:fldChar w:fldCharType="begin"/>
          </w:r>
          <w:r>
            <w:rPr>
              <w:highlight w:val="none"/>
            </w:rPr>
            <w:instrText xml:space="preserve"> HYPERLINK \l "_Toc24531712" </w:instrText>
          </w:r>
          <w:r>
            <w:rPr>
              <w:highlight w:val="none"/>
            </w:rPr>
            <w:fldChar w:fldCharType="separate"/>
          </w:r>
          <w:r>
            <w:rPr>
              <w:rStyle w:val="13"/>
              <w:spacing w:val="-1"/>
              <w:highlight w:val="none"/>
            </w:rPr>
            <w:t>八、合作伙伴</w:t>
          </w:r>
          <w:r>
            <w:rPr>
              <w:highlight w:val="none"/>
            </w:rPr>
            <w:tab/>
          </w:r>
          <w:r>
            <w:rPr>
              <w:highlight w:val="none"/>
            </w:rPr>
            <w:fldChar w:fldCharType="begin"/>
          </w:r>
          <w:r>
            <w:rPr>
              <w:highlight w:val="none"/>
            </w:rPr>
            <w:instrText xml:space="preserve"> PAGEREF _Toc24531712 \h </w:instrText>
          </w:r>
          <w:r>
            <w:rPr>
              <w:highlight w:val="none"/>
            </w:rPr>
            <w:fldChar w:fldCharType="separate"/>
          </w:r>
          <w:r>
            <w:rPr>
              <w:highlight w:val="none"/>
            </w:rPr>
            <w:t>19</w:t>
          </w:r>
          <w:r>
            <w:rPr>
              <w:highlight w:val="none"/>
            </w:rPr>
            <w:fldChar w:fldCharType="end"/>
          </w:r>
          <w:r>
            <w:rPr>
              <w:highlight w:val="none"/>
            </w:rPr>
            <w:fldChar w:fldCharType="end"/>
          </w:r>
        </w:p>
        <w:p w14:paraId="7E675BB1">
          <w:pPr>
            <w:pStyle w:val="10"/>
            <w:tabs>
              <w:tab w:val="right" w:leader="dot" w:pos="8780"/>
            </w:tabs>
            <w:rPr>
              <w:rFonts w:asciiTheme="minorHAnsi" w:hAnsiTheme="minorHAnsi" w:eastAsiaTheme="minorEastAsia" w:cstheme="minorBidi"/>
              <w:kern w:val="2"/>
              <w:sz w:val="21"/>
              <w:szCs w:val="22"/>
              <w:highlight w:val="none"/>
              <w:lang w:val="en-US" w:bidi="ar-SA"/>
            </w:rPr>
          </w:pPr>
          <w:r>
            <w:rPr>
              <w:highlight w:val="none"/>
            </w:rPr>
            <w:fldChar w:fldCharType="begin"/>
          </w:r>
          <w:r>
            <w:rPr>
              <w:highlight w:val="none"/>
            </w:rPr>
            <w:instrText xml:space="preserve"> HYPERLINK \l "_Toc24531713" </w:instrText>
          </w:r>
          <w:r>
            <w:rPr>
              <w:highlight w:val="none"/>
            </w:rPr>
            <w:fldChar w:fldCharType="separate"/>
          </w:r>
          <w:r>
            <w:rPr>
              <w:rStyle w:val="13"/>
              <w:highlight w:val="none"/>
            </w:rPr>
            <w:t>九、存在问题及改进</w:t>
          </w:r>
          <w:r>
            <w:rPr>
              <w:highlight w:val="none"/>
            </w:rPr>
            <w:tab/>
          </w:r>
          <w:r>
            <w:rPr>
              <w:highlight w:val="none"/>
            </w:rPr>
            <w:fldChar w:fldCharType="begin"/>
          </w:r>
          <w:r>
            <w:rPr>
              <w:highlight w:val="none"/>
            </w:rPr>
            <w:instrText xml:space="preserve"> PAGEREF _Toc24531713 \h </w:instrText>
          </w:r>
          <w:r>
            <w:rPr>
              <w:highlight w:val="none"/>
            </w:rPr>
            <w:fldChar w:fldCharType="separate"/>
          </w:r>
          <w:r>
            <w:rPr>
              <w:highlight w:val="none"/>
            </w:rPr>
            <w:t>20</w:t>
          </w:r>
          <w:r>
            <w:rPr>
              <w:highlight w:val="none"/>
            </w:rPr>
            <w:fldChar w:fldCharType="end"/>
          </w:r>
          <w:r>
            <w:rPr>
              <w:highlight w:val="none"/>
            </w:rPr>
            <w:fldChar w:fldCharType="end"/>
          </w:r>
        </w:p>
        <w:p w14:paraId="70F74113">
          <w:pPr>
            <w:rPr>
              <w:highlight w:val="none"/>
            </w:rPr>
          </w:pPr>
          <w:r>
            <w:rPr>
              <w:b/>
              <w:bCs/>
              <w:highlight w:val="none"/>
            </w:rPr>
            <w:fldChar w:fldCharType="end"/>
          </w:r>
        </w:p>
      </w:sdtContent>
    </w:sdt>
    <w:p w14:paraId="4BE288E2">
      <w:pPr>
        <w:pStyle w:val="2"/>
        <w:spacing w:before="143"/>
        <w:ind w:left="0" w:right="235"/>
        <w:jc w:val="center"/>
        <w:rPr>
          <w:b/>
          <w:bCs/>
          <w:sz w:val="36"/>
          <w:szCs w:val="36"/>
          <w:highlight w:val="none"/>
        </w:rPr>
        <w:sectPr>
          <w:headerReference r:id="rId5" w:type="default"/>
          <w:footerReference r:id="rId6" w:type="default"/>
          <w:pgSz w:w="11910" w:h="16840"/>
          <w:pgMar w:top="1420" w:right="1440" w:bottom="1380" w:left="1680" w:header="877" w:footer="1197" w:gutter="0"/>
          <w:cols w:space="720" w:num="1"/>
        </w:sectPr>
      </w:pPr>
      <w:bookmarkStart w:id="0" w:name="_Toc24531704"/>
    </w:p>
    <w:p w14:paraId="3CBCEAAD">
      <w:pPr>
        <w:pStyle w:val="2"/>
        <w:keepNext w:val="0"/>
        <w:keepLines w:val="0"/>
        <w:pageBreakBefore w:val="0"/>
        <w:kinsoku/>
        <w:wordWrap/>
        <w:overflowPunct/>
        <w:topLinePunct w:val="0"/>
        <w:bidi w:val="0"/>
        <w:adjustRightInd/>
        <w:spacing w:line="360" w:lineRule="auto"/>
        <w:ind w:right="0"/>
        <w:jc w:val="center"/>
        <w:textAlignment w:val="auto"/>
        <w:rPr>
          <w:b/>
          <w:bCs/>
          <w:sz w:val="36"/>
          <w:szCs w:val="36"/>
          <w:highlight w:val="none"/>
        </w:rPr>
      </w:pPr>
    </w:p>
    <w:p w14:paraId="79CCB830">
      <w:pPr>
        <w:pStyle w:val="2"/>
        <w:keepNext w:val="0"/>
        <w:keepLines w:val="0"/>
        <w:pageBreakBefore w:val="0"/>
        <w:kinsoku/>
        <w:wordWrap/>
        <w:overflowPunct/>
        <w:topLinePunct w:val="0"/>
        <w:bidi w:val="0"/>
        <w:adjustRightInd/>
        <w:spacing w:line="360" w:lineRule="auto"/>
        <w:ind w:right="0"/>
        <w:jc w:val="center"/>
        <w:textAlignment w:val="auto"/>
        <w:rPr>
          <w:b/>
          <w:bCs/>
          <w:sz w:val="36"/>
          <w:szCs w:val="36"/>
          <w:highlight w:val="none"/>
        </w:rPr>
      </w:pPr>
      <w:r>
        <w:rPr>
          <w:b/>
          <w:bCs/>
          <w:sz w:val="36"/>
          <w:szCs w:val="36"/>
          <w:highlight w:val="none"/>
        </w:rPr>
        <w:t>公司概况</w:t>
      </w:r>
      <w:bookmarkEnd w:id="0"/>
    </w:p>
    <w:p w14:paraId="3B89C96F">
      <w:pPr>
        <w:rPr>
          <w:highlight w:val="none"/>
        </w:rPr>
      </w:pPr>
    </w:p>
    <w:p w14:paraId="4F87EB93">
      <w:pPr>
        <w:rPr>
          <w:highlight w:val="none"/>
        </w:rPr>
      </w:pPr>
    </w:p>
    <w:p w14:paraId="39C1E38B">
      <w:pPr>
        <w:spacing w:line="480" w:lineRule="auto"/>
        <w:ind w:firstLine="720" w:firstLineChars="300"/>
        <w:rPr>
          <w:rFonts w:hint="eastAsia" w:cs="宋体" w:asciiTheme="minorEastAsia" w:hAnsiTheme="minorEastAsia" w:eastAsiaTheme="minorEastAsia"/>
          <w:color w:val="000000" w:themeColor="text1"/>
          <w:sz w:val="24"/>
          <w:szCs w:val="24"/>
          <w:highlight w:val="none"/>
          <w:lang w:val="en-US" w:eastAsia="zh-CN" w:bidi="ar-SA"/>
          <w14:textFill>
            <w14:solidFill>
              <w14:schemeClr w14:val="tx1"/>
            </w14:solidFill>
          </w14:textFill>
        </w:rPr>
      </w:pPr>
      <w:bookmarkStart w:id="1" w:name="一、责任聚焦"/>
      <w:bookmarkEnd w:id="1"/>
      <w:bookmarkStart w:id="2" w:name="_Toc24531705"/>
      <w:r>
        <w:rPr>
          <w:rFonts w:hint="eastAsia" w:cs="宋体" w:asciiTheme="minorEastAsia" w:hAnsiTheme="minorEastAsia" w:eastAsiaTheme="minorEastAsia"/>
          <w:color w:val="000000" w:themeColor="text1"/>
          <w:sz w:val="24"/>
          <w:szCs w:val="24"/>
          <w:highlight w:val="none"/>
          <w:lang w:val="en-US" w:eastAsia="zh-CN" w:bidi="ar-SA"/>
          <w14:textFill>
            <w14:solidFill>
              <w14:schemeClr w14:val="tx1"/>
            </w14:solidFill>
          </w14:textFill>
        </w:rPr>
        <w:t>浙江惠同新材料股份有限公司成立于2007年5月,于2015年挂牌新三板,专业从事种纸生产及深加工。坐落在拥有“秀山丽水、仙县遂昌”美丽称呼的丽水市遂昌县上江工业内,距两龙高速公路遂昌东出口仅1公里。</w:t>
      </w:r>
    </w:p>
    <w:p w14:paraId="256A0848">
      <w:pPr>
        <w:spacing w:line="480" w:lineRule="auto"/>
        <w:ind w:firstLine="720" w:firstLineChars="300"/>
        <w:rPr>
          <w:rFonts w:hint="eastAsia" w:cs="宋体" w:asciiTheme="minorEastAsia" w:hAnsiTheme="minorEastAsia" w:eastAsiaTheme="minorEastAsia"/>
          <w:color w:val="000000" w:themeColor="text1"/>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val="en-US" w:eastAsia="zh-CN" w:bidi="ar-SA"/>
          <w14:textFill>
            <w14:solidFill>
              <w14:schemeClr w14:val="tx1"/>
            </w14:solidFill>
          </w14:textFill>
        </w:rPr>
        <w:t>公司主导制定国家标准5项、行业标准2项,参与制定国家标准1项,同时公司已取得23项专利,其中发明专利6项，实用新型专利17</w:t>
      </w:r>
      <w:bookmarkStart w:id="21" w:name="_GoBack"/>
      <w:bookmarkEnd w:id="21"/>
      <w:r>
        <w:rPr>
          <w:rFonts w:hint="eastAsia" w:cs="宋体" w:asciiTheme="minorEastAsia" w:hAnsiTheme="minorEastAsia" w:eastAsiaTheme="minorEastAsia"/>
          <w:color w:val="000000" w:themeColor="text1"/>
          <w:sz w:val="24"/>
          <w:szCs w:val="24"/>
          <w:highlight w:val="none"/>
          <w:lang w:val="en-US" w:eastAsia="zh-CN" w:bidi="ar-SA"/>
          <w14:textFill>
            <w14:solidFill>
              <w14:schemeClr w14:val="tx1"/>
            </w14:solidFill>
          </w14:textFill>
        </w:rPr>
        <w:t>项。公司积极履行社会责任,积极响应国家全面推动绿色制造的理念,通过技术改造节能减排,2023年取得浙江省经济和息化厅颁发的浙江省节水型企业的荣誉,为创建绿色低碳工厂奠定基础。</w:t>
      </w:r>
    </w:p>
    <w:p w14:paraId="48868387">
      <w:pPr>
        <w:spacing w:line="480" w:lineRule="auto"/>
        <w:ind w:firstLine="720" w:firstLineChars="300"/>
        <w:rPr>
          <w:rFonts w:hint="eastAsia" w:cs="宋体" w:asciiTheme="minorEastAsia" w:hAnsiTheme="minorEastAsia" w:eastAsiaTheme="minorEastAsia"/>
          <w:color w:val="000000" w:themeColor="text1"/>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val="en-US" w:eastAsia="zh-CN" w:bidi="ar-SA"/>
          <w14:textFill>
            <w14:solidFill>
              <w14:schemeClr w14:val="tx1"/>
            </w14:solidFill>
          </w14:textFill>
        </w:rPr>
        <w:t>公司主要产品为涂板纸、特种高透棉纸、茶叶滤纸、无氟食品防油纸、全降解环保包装纸等,其中涂板纸在行内属于领跑者地位,2024年通过《IATF16949汽车认证体系》,与国内各大知名蓄电池品牌建立了稳定的合作关系,如骆驼、理士、天能、超威、风帆等。</w:t>
      </w:r>
    </w:p>
    <w:p w14:paraId="379BC299">
      <w:pPr>
        <w:spacing w:line="480" w:lineRule="auto"/>
        <w:ind w:firstLine="720" w:firstLineChars="300"/>
        <w:rPr>
          <w:rFonts w:hint="eastAsia" w:cs="宋体" w:asciiTheme="minorEastAsia" w:hAnsiTheme="minorEastAsia" w:eastAsiaTheme="minorEastAsia"/>
          <w:color w:val="000000" w:themeColor="text1"/>
          <w:sz w:val="24"/>
          <w:szCs w:val="24"/>
          <w:highlight w:val="none"/>
          <w:lang w:val="en-US" w:eastAsia="zh-CN" w:bidi="ar-SA"/>
          <w14:textFill>
            <w14:solidFill>
              <w14:schemeClr w14:val="tx1"/>
            </w14:solidFill>
          </w14:textFill>
        </w:rPr>
      </w:pPr>
      <w:r>
        <w:rPr>
          <w:rFonts w:hint="eastAsia" w:cs="宋体" w:asciiTheme="minorEastAsia" w:hAnsiTheme="minorEastAsia" w:eastAsiaTheme="minorEastAsia"/>
          <w:color w:val="000000" w:themeColor="text1"/>
          <w:sz w:val="24"/>
          <w:szCs w:val="24"/>
          <w:highlight w:val="none"/>
          <w:lang w:val="en-US" w:eastAsia="zh-CN" w:bidi="ar-SA"/>
          <w14:textFill>
            <w14:solidFill>
              <w14:schemeClr w14:val="tx1"/>
            </w14:solidFill>
          </w14:textFill>
        </w:rPr>
        <w:t>惠同股份推崇惠而不费、同德同心的理念,凭借强大的研发力量和精湛的生产技术,不断开发新型产品满足市场需求,把良好的产品及更大的利益奉献给与惠同真诚合作的四海宾朋。</w:t>
      </w:r>
    </w:p>
    <w:p w14:paraId="615A93D0">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sz w:val="32"/>
          <w:szCs w:val="32"/>
          <w:highlight w:val="none"/>
        </w:rPr>
      </w:pPr>
    </w:p>
    <w:p w14:paraId="10184D34">
      <w:pPr>
        <w:rPr>
          <w:rFonts w:hint="eastAsia" w:ascii="宋体" w:hAnsi="宋体" w:eastAsia="宋体" w:cs="宋体"/>
          <w:b/>
          <w:bCs/>
          <w:sz w:val="32"/>
          <w:szCs w:val="32"/>
          <w:highlight w:val="none"/>
        </w:rPr>
      </w:pPr>
    </w:p>
    <w:p w14:paraId="0D9A1083">
      <w:pPr>
        <w:rPr>
          <w:rFonts w:hint="eastAsia" w:ascii="宋体" w:hAnsi="宋体" w:eastAsia="宋体" w:cs="宋体"/>
          <w:b/>
          <w:bCs/>
          <w:sz w:val="32"/>
          <w:szCs w:val="32"/>
          <w:highlight w:val="none"/>
        </w:rPr>
      </w:pPr>
    </w:p>
    <w:p w14:paraId="506D2F4C">
      <w:pPr>
        <w:rPr>
          <w:rFonts w:hint="eastAsia" w:ascii="宋体" w:hAnsi="宋体" w:eastAsia="宋体" w:cs="宋体"/>
          <w:b/>
          <w:bCs/>
          <w:sz w:val="32"/>
          <w:szCs w:val="32"/>
          <w:highlight w:val="none"/>
        </w:rPr>
      </w:pPr>
    </w:p>
    <w:p w14:paraId="56D6C095">
      <w:pPr>
        <w:rPr>
          <w:rFonts w:hint="eastAsia" w:ascii="宋体" w:hAnsi="宋体" w:eastAsia="宋体" w:cs="宋体"/>
          <w:b/>
          <w:bCs/>
          <w:sz w:val="32"/>
          <w:szCs w:val="32"/>
          <w:highlight w:val="none"/>
        </w:rPr>
      </w:pPr>
    </w:p>
    <w:p w14:paraId="28A7E403">
      <w:pPr>
        <w:rPr>
          <w:rFonts w:hint="eastAsia" w:ascii="宋体" w:hAnsi="宋体" w:eastAsia="宋体" w:cs="宋体"/>
          <w:b/>
          <w:bCs/>
          <w:sz w:val="32"/>
          <w:szCs w:val="32"/>
          <w:highlight w:val="none"/>
        </w:rPr>
      </w:pPr>
    </w:p>
    <w:p w14:paraId="419EC1E7">
      <w:pPr>
        <w:rPr>
          <w:rFonts w:hint="eastAsia" w:ascii="宋体" w:hAnsi="宋体" w:eastAsia="宋体" w:cs="宋体"/>
          <w:b/>
          <w:bCs/>
          <w:sz w:val="32"/>
          <w:szCs w:val="32"/>
          <w:highlight w:val="none"/>
        </w:rPr>
      </w:pPr>
    </w:p>
    <w:p w14:paraId="22309236">
      <w:pPr>
        <w:rPr>
          <w:rFonts w:hint="eastAsia" w:ascii="宋体" w:hAnsi="宋体" w:eastAsia="宋体" w:cs="宋体"/>
          <w:b/>
          <w:bCs/>
          <w:sz w:val="32"/>
          <w:szCs w:val="32"/>
          <w:highlight w:val="none"/>
        </w:rPr>
      </w:pPr>
    </w:p>
    <w:p w14:paraId="7FF7CF41">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b/>
          <w:bCs/>
          <w:sz w:val="32"/>
          <w:szCs w:val="32"/>
          <w:highlight w:val="none"/>
        </w:rPr>
      </w:pPr>
    </w:p>
    <w:p w14:paraId="1D238D31">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一、责任聚焦</w:t>
      </w:r>
      <w:bookmarkEnd w:id="2"/>
    </w:p>
    <w:p w14:paraId="556E7B32">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76" w:firstLineChars="200"/>
        <w:textAlignment w:val="auto"/>
        <w:rPr>
          <w:rFonts w:hint="eastAsia" w:ascii="宋体" w:hAnsi="宋体" w:eastAsia="宋体" w:cs="宋体"/>
          <w:highlight w:val="none"/>
        </w:rPr>
      </w:pPr>
      <w:r>
        <w:rPr>
          <w:rFonts w:hint="eastAsia" w:ascii="宋体" w:hAnsi="宋体" w:eastAsia="宋体" w:cs="宋体"/>
          <w:spacing w:val="-1"/>
          <w:highlight w:val="none"/>
        </w:rPr>
        <w:t>一个企业最大的社会责任，就是要让公司健康发展，为社会创造更多价值。</w:t>
      </w:r>
      <w:r>
        <w:rPr>
          <w:rFonts w:hint="eastAsia" w:ascii="宋体" w:hAnsi="宋体" w:eastAsia="宋体" w:cs="宋体"/>
          <w:spacing w:val="-6"/>
          <w:highlight w:val="none"/>
        </w:rPr>
        <w:t>一家成功的公司会解决就业、缴税、员工福利、环境保护等问题，同时为政府纳税，政府税收又会通过多种方式完成相应的社会责任。</w:t>
      </w:r>
    </w:p>
    <w:p w14:paraId="42D315CB">
      <w:pPr>
        <w:pStyle w:val="15"/>
        <w:keepNext w:val="0"/>
        <w:keepLines w:val="0"/>
        <w:pageBreakBefore w:val="0"/>
        <w:widowControl w:val="0"/>
        <w:numPr>
          <w:ilvl w:val="1"/>
          <w:numId w:val="2"/>
        </w:numPr>
        <w:tabs>
          <w:tab w:val="left" w:pos="600"/>
        </w:tabs>
        <w:kinsoku/>
        <w:wordWrap/>
        <w:overflowPunct/>
        <w:topLinePunct w:val="0"/>
        <w:autoSpaceDE w:val="0"/>
        <w:autoSpaceDN w:val="0"/>
        <w:bidi w:val="0"/>
        <w:adjustRightInd/>
        <w:snapToGrid/>
        <w:spacing w:before="0"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社会责任观</w:t>
      </w:r>
    </w:p>
    <w:p w14:paraId="7AA1C24D">
      <w:pPr>
        <w:pStyle w:val="5"/>
        <w:keepNext w:val="0"/>
        <w:keepLines w:val="0"/>
        <w:pageBreakBefore w:val="0"/>
        <w:kinsoku/>
        <w:wordWrap/>
        <w:overflowPunct/>
        <w:topLinePunct w:val="0"/>
        <w:autoSpaceDE w:val="0"/>
        <w:autoSpaceDN w:val="0"/>
        <w:bidi w:val="0"/>
        <w:adjustRightInd/>
        <w:spacing w:line="360" w:lineRule="auto"/>
        <w:ind w:left="0" w:right="0" w:firstLine="444" w:firstLineChars="200"/>
        <w:jc w:val="both"/>
        <w:textAlignment w:val="auto"/>
        <w:rPr>
          <w:rFonts w:hint="eastAsia" w:ascii="宋体" w:hAnsi="宋体" w:eastAsia="宋体" w:cs="宋体"/>
          <w:spacing w:val="-6"/>
          <w:highlight w:val="none"/>
        </w:rPr>
      </w:pPr>
      <w:r>
        <w:rPr>
          <w:rFonts w:hint="eastAsia" w:ascii="宋体" w:hAnsi="宋体" w:eastAsia="宋体" w:cs="宋体"/>
          <w:spacing w:val="-9"/>
          <w:highlight w:val="none"/>
        </w:rPr>
        <w:t>随着全球化经济的不断发展，可持续发展的理念已经成为许多国际型企业发展战略的核心。支持社会公益事业，倡导社会环境的可持续发展，做负社会责任</w:t>
      </w:r>
      <w:r>
        <w:rPr>
          <w:rFonts w:hint="eastAsia" w:ascii="宋体" w:hAnsi="宋体" w:eastAsia="宋体" w:cs="宋体"/>
          <w:spacing w:val="-10"/>
          <w:highlight w:val="none"/>
        </w:rPr>
        <w:t>的企业公民，已成为企业公共关系的重要主题。在企业发展的过程中，我们逐渐认识到，公共关系策略不再是简单地运用产品进行促销，基于传统营销传播观念</w:t>
      </w:r>
      <w:r>
        <w:rPr>
          <w:rFonts w:hint="eastAsia" w:ascii="宋体" w:hAnsi="宋体" w:eastAsia="宋体" w:cs="宋体"/>
          <w:spacing w:val="-5"/>
          <w:highlight w:val="none"/>
        </w:rPr>
        <w:t>的公共关系已经远远不能适应时代潮流以及公众对环保的需要，取而代之的应该</w:t>
      </w:r>
      <w:r>
        <w:rPr>
          <w:rFonts w:hint="eastAsia" w:ascii="宋体" w:hAnsi="宋体" w:eastAsia="宋体" w:cs="宋体"/>
          <w:spacing w:val="-7"/>
          <w:highlight w:val="none"/>
        </w:rPr>
        <w:t>是企业对社会责任的承诺与行动，它们不但应该融入企业的发展战略，而且应成</w:t>
      </w:r>
      <w:r>
        <w:rPr>
          <w:rFonts w:hint="eastAsia" w:ascii="宋体" w:hAnsi="宋体" w:eastAsia="宋体" w:cs="宋体"/>
          <w:spacing w:val="-6"/>
          <w:highlight w:val="none"/>
        </w:rPr>
        <w:t>为公共关系传播的出发点和着眼点。我们始终把“做负责任的企业”视为企</w:t>
      </w:r>
      <w:r>
        <w:rPr>
          <w:rFonts w:hint="eastAsia" w:ascii="宋体" w:hAnsi="宋体" w:eastAsia="宋体" w:cs="宋体"/>
          <w:highlight w:val="none"/>
        </w:rPr>
        <w:t>业经营的长远战略，视为企业发展战略的精髓，视为企业文化的核心基石。</w:t>
      </w:r>
    </w:p>
    <w:p w14:paraId="45CC0F05">
      <w:pPr>
        <w:pStyle w:val="5"/>
        <w:keepNext w:val="0"/>
        <w:keepLines w:val="0"/>
        <w:pageBreakBefore w:val="0"/>
        <w:kinsoku/>
        <w:wordWrap/>
        <w:overflowPunct/>
        <w:topLinePunct w:val="0"/>
        <w:autoSpaceDE w:val="0"/>
        <w:autoSpaceDN w:val="0"/>
        <w:bidi w:val="0"/>
        <w:adjustRightInd/>
        <w:spacing w:line="360" w:lineRule="auto"/>
        <w:ind w:left="0" w:right="0" w:firstLine="452" w:firstLineChars="200"/>
        <w:textAlignment w:val="auto"/>
        <w:rPr>
          <w:rFonts w:hint="eastAsia" w:ascii="宋体" w:hAnsi="宋体" w:eastAsia="宋体" w:cs="宋体"/>
          <w:highlight w:val="none"/>
        </w:rPr>
      </w:pPr>
      <w:r>
        <w:rPr>
          <w:rFonts w:hint="eastAsia" w:ascii="宋体" w:hAnsi="宋体" w:eastAsia="宋体" w:cs="宋体"/>
          <w:spacing w:val="-7"/>
          <w:highlight w:val="none"/>
        </w:rPr>
        <w:t>企业社会责任不是口号，我们创立之初就确定我们是一个履行社会责任的公司，</w:t>
      </w:r>
      <w:r>
        <w:rPr>
          <w:rFonts w:hint="eastAsia" w:ascii="宋体" w:hAnsi="宋体" w:eastAsia="宋体" w:cs="宋体"/>
          <w:spacing w:val="-12"/>
          <w:highlight w:val="none"/>
        </w:rPr>
        <w:t>多年来，公</w:t>
      </w:r>
      <w:r>
        <w:rPr>
          <w:rFonts w:hint="eastAsia" w:ascii="宋体" w:hAnsi="宋体" w:eastAsia="宋体" w:cs="宋体"/>
          <w:spacing w:val="-1"/>
          <w:highlight w:val="none"/>
        </w:rPr>
        <w:t>司坚持以“</w:t>
      </w:r>
      <w:r>
        <w:rPr>
          <w:rFonts w:hint="eastAsia" w:cs="宋体"/>
          <w:color w:val="000000"/>
          <w:sz w:val="24"/>
          <w:szCs w:val="24"/>
          <w:highlight w:val="none"/>
          <w:lang w:val="en-US" w:eastAsia="zh-CN"/>
        </w:rPr>
        <w:t>为客户提供高品质、高性价比的特种纸产品</w:t>
      </w:r>
      <w:r>
        <w:rPr>
          <w:rFonts w:hint="eastAsia" w:cs="宋体"/>
          <w:color w:val="000000"/>
          <w:sz w:val="24"/>
          <w:szCs w:val="24"/>
          <w:highlight w:val="none"/>
          <w:lang w:val="en-US" w:eastAsia="zh-CN"/>
        </w:rPr>
        <w:t>。</w:t>
      </w:r>
      <w:r>
        <w:rPr>
          <w:rFonts w:hint="eastAsia" w:ascii="宋体" w:hAnsi="宋体" w:eastAsia="宋体" w:cs="宋体"/>
          <w:spacing w:val="-1"/>
          <w:highlight w:val="none"/>
        </w:rPr>
        <w:t>”作为企业使命，以“</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致力于成为国内薄形纸行业的引领者</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w:t>
      </w:r>
      <w:r>
        <w:rPr>
          <w:rFonts w:hint="eastAsia" w:ascii="宋体" w:hAnsi="宋体" w:eastAsia="宋体" w:cs="宋体"/>
          <w:spacing w:val="-11"/>
          <w:highlight w:val="none"/>
        </w:rPr>
        <w:t>”作为公司</w:t>
      </w:r>
      <w:r>
        <w:rPr>
          <w:rFonts w:hint="eastAsia" w:ascii="宋体" w:hAnsi="宋体" w:eastAsia="宋体" w:cs="宋体"/>
          <w:spacing w:val="-11"/>
          <w:highlight w:val="none"/>
          <w:lang w:val="en-US"/>
        </w:rPr>
        <w:t>愿景</w:t>
      </w:r>
      <w:r>
        <w:rPr>
          <w:rFonts w:hint="eastAsia" w:ascii="宋体" w:hAnsi="宋体" w:eastAsia="宋体" w:cs="宋体"/>
          <w:spacing w:val="-11"/>
          <w:highlight w:val="none"/>
        </w:rPr>
        <w:t>，以“</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客户至上、团队合作、家、诚信、责任、激情、匠心</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w:t>
      </w:r>
      <w:r>
        <w:rPr>
          <w:rFonts w:hint="eastAsia" w:ascii="宋体" w:hAnsi="宋体" w:eastAsia="宋体" w:cs="宋体"/>
          <w:spacing w:val="-11"/>
          <w:highlight w:val="none"/>
        </w:rPr>
        <w:t>”为</w:t>
      </w:r>
      <w:r>
        <w:rPr>
          <w:rFonts w:hint="eastAsia" w:ascii="宋体" w:hAnsi="宋体" w:eastAsia="宋体" w:cs="宋体"/>
          <w:spacing w:val="-11"/>
          <w:highlight w:val="none"/>
          <w:lang w:val="en-US"/>
        </w:rPr>
        <w:t>公司核心价值观</w:t>
      </w:r>
      <w:r>
        <w:rPr>
          <w:rFonts w:hint="eastAsia" w:ascii="宋体" w:hAnsi="宋体" w:eastAsia="宋体" w:cs="宋体"/>
          <w:spacing w:val="-11"/>
          <w:highlight w:val="none"/>
        </w:rPr>
        <w:t>，在履行企业社会责任中做了大量工作。</w:t>
      </w:r>
    </w:p>
    <w:p w14:paraId="43D6838C">
      <w:pPr>
        <w:pStyle w:val="15"/>
        <w:keepNext w:val="0"/>
        <w:keepLines w:val="0"/>
        <w:pageBreakBefore w:val="0"/>
        <w:widowControl w:val="0"/>
        <w:numPr>
          <w:ilvl w:val="1"/>
          <w:numId w:val="2"/>
        </w:numPr>
        <w:tabs>
          <w:tab w:val="left" w:pos="600"/>
        </w:tabs>
        <w:kinsoku/>
        <w:wordWrap/>
        <w:overflowPunct/>
        <w:topLinePunct w:val="0"/>
        <w:autoSpaceDE w:val="0"/>
        <w:autoSpaceDN w:val="0"/>
        <w:bidi w:val="0"/>
        <w:adjustRightInd/>
        <w:snapToGrid/>
        <w:spacing w:before="0"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利益相关方</w:t>
      </w:r>
    </w:p>
    <w:p w14:paraId="1C7A9586">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企业所有的利益相关者的利益都是通过企业共同愿景的实现来达成的。没有共同的愿景，缺乏共同的信念，就没有利益相关的前提。所以,认同共同的企业愿景和价值观，是建设和完善企业与利益方关系管理体系的前提和基础。</w:t>
      </w:r>
    </w:p>
    <w:tbl>
      <w:tblPr>
        <w:tblStyle w:val="11"/>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280"/>
        <w:gridCol w:w="7370"/>
      </w:tblGrid>
      <w:tr w14:paraId="492E9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blHeader/>
          <w:jc w:val="center"/>
        </w:trPr>
        <w:tc>
          <w:tcPr>
            <w:tcW w:w="1181" w:type="pct"/>
            <w:vAlign w:val="center"/>
          </w:tcPr>
          <w:p w14:paraId="546208FE">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利益相关方</w:t>
            </w:r>
          </w:p>
        </w:tc>
        <w:tc>
          <w:tcPr>
            <w:tcW w:w="3818" w:type="pct"/>
            <w:vAlign w:val="center"/>
          </w:tcPr>
          <w:p w14:paraId="59BE12AD">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责任与举措</w:t>
            </w:r>
          </w:p>
        </w:tc>
      </w:tr>
      <w:tr w14:paraId="53836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1181" w:type="pct"/>
            <w:vAlign w:val="center"/>
          </w:tcPr>
          <w:p w14:paraId="16C83F45">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股东与投资者</w:t>
            </w:r>
          </w:p>
        </w:tc>
        <w:tc>
          <w:tcPr>
            <w:tcW w:w="3818" w:type="pct"/>
            <w:vAlign w:val="center"/>
          </w:tcPr>
          <w:p w14:paraId="23F3263B">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准确及时披露经营状况和重大事项信息，提供合理投资回报遵循责任经营和责任投资的基本原则</w:t>
            </w:r>
          </w:p>
        </w:tc>
      </w:tr>
      <w:tr w14:paraId="5E787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1181" w:type="pct"/>
            <w:vAlign w:val="center"/>
          </w:tcPr>
          <w:p w14:paraId="3828182B">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客 户</w:t>
            </w:r>
          </w:p>
        </w:tc>
        <w:tc>
          <w:tcPr>
            <w:tcW w:w="3818" w:type="pct"/>
            <w:vAlign w:val="center"/>
          </w:tcPr>
          <w:p w14:paraId="2E47B863">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提供优质的产品和服务；产品具有安全性和便利性；持续提升客户满意度；及时合规的信息沟通</w:t>
            </w:r>
          </w:p>
        </w:tc>
      </w:tr>
      <w:tr w14:paraId="527A8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3" w:hRule="atLeast"/>
          <w:jc w:val="center"/>
        </w:trPr>
        <w:tc>
          <w:tcPr>
            <w:tcW w:w="1181" w:type="pct"/>
            <w:vAlign w:val="center"/>
          </w:tcPr>
          <w:p w14:paraId="385741AA">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员 工</w:t>
            </w:r>
          </w:p>
        </w:tc>
        <w:tc>
          <w:tcPr>
            <w:tcW w:w="3818" w:type="pct"/>
            <w:vAlign w:val="center"/>
          </w:tcPr>
          <w:p w14:paraId="54FD54D5">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维护员工合法权益；创造良好的工作环境；给予合理的待遇提供教育和培训，为员工创造发展空间</w:t>
            </w:r>
          </w:p>
        </w:tc>
      </w:tr>
      <w:tr w14:paraId="1943C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jc w:val="center"/>
        </w:trPr>
        <w:tc>
          <w:tcPr>
            <w:tcW w:w="1181" w:type="pct"/>
            <w:vAlign w:val="center"/>
          </w:tcPr>
          <w:p w14:paraId="6EBABF45">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合作伙伴</w:t>
            </w:r>
          </w:p>
        </w:tc>
        <w:tc>
          <w:tcPr>
            <w:tcW w:w="3818" w:type="pct"/>
            <w:vAlign w:val="center"/>
          </w:tcPr>
          <w:p w14:paraId="7ABB6164">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实行公平采购；协助履行社会责任；建立相互尊重的合作关系；坚持诚实守信，维护企业的信誉</w:t>
            </w:r>
          </w:p>
        </w:tc>
      </w:tr>
      <w:tr w14:paraId="3C928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1181" w:type="pct"/>
            <w:vAlign w:val="center"/>
          </w:tcPr>
          <w:p w14:paraId="572DF0FB">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政 府</w:t>
            </w:r>
          </w:p>
        </w:tc>
        <w:tc>
          <w:tcPr>
            <w:tcW w:w="3818" w:type="pct"/>
            <w:vAlign w:val="center"/>
          </w:tcPr>
          <w:p w14:paraId="17C3D630">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依法纳税，提供就业机会，带动地方经济发展</w:t>
            </w:r>
          </w:p>
        </w:tc>
      </w:tr>
      <w:tr w14:paraId="36A9A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1181" w:type="pct"/>
            <w:vAlign w:val="center"/>
          </w:tcPr>
          <w:p w14:paraId="56BBA8C2">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自然环境</w:t>
            </w:r>
          </w:p>
        </w:tc>
        <w:tc>
          <w:tcPr>
            <w:tcW w:w="3818" w:type="pct"/>
            <w:vAlign w:val="center"/>
          </w:tcPr>
          <w:p w14:paraId="5800428F">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推行绿色生产，实践环保经营，倡导节能减排，开展水资源保护，改善自然生态系统</w:t>
            </w:r>
          </w:p>
        </w:tc>
      </w:tr>
      <w:tr w14:paraId="43BC5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181" w:type="pct"/>
            <w:vAlign w:val="center"/>
          </w:tcPr>
          <w:p w14:paraId="4AD9332E">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社区居民</w:t>
            </w:r>
          </w:p>
        </w:tc>
        <w:tc>
          <w:tcPr>
            <w:tcW w:w="3818" w:type="pct"/>
            <w:vAlign w:val="center"/>
          </w:tcPr>
          <w:p w14:paraId="3F187BBC">
            <w:pPr>
              <w:pStyle w:val="16"/>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0" w:firstLineChars="0"/>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参与社会公益活动，为社会可持续、和谐发展做贡献</w:t>
            </w:r>
          </w:p>
        </w:tc>
      </w:tr>
    </w:tbl>
    <w:p w14:paraId="1FB72DC7">
      <w:pPr>
        <w:pStyle w:val="15"/>
        <w:keepNext w:val="0"/>
        <w:keepLines w:val="0"/>
        <w:pageBreakBefore w:val="0"/>
        <w:widowControl w:val="0"/>
        <w:numPr>
          <w:ilvl w:val="1"/>
          <w:numId w:val="2"/>
        </w:numPr>
        <w:tabs>
          <w:tab w:val="left" w:pos="600"/>
        </w:tabs>
        <w:kinsoku/>
        <w:wordWrap/>
        <w:overflowPunct/>
        <w:topLinePunct w:val="0"/>
        <w:autoSpaceDE w:val="0"/>
        <w:autoSpaceDN w:val="0"/>
        <w:bidi w:val="0"/>
        <w:adjustRightInd/>
        <w:snapToGrid/>
        <w:spacing w:before="0"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责任体系</w:t>
      </w:r>
    </w:p>
    <w:p w14:paraId="4864CB9F">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56" w:firstLineChars="200"/>
        <w:textAlignment w:val="auto"/>
        <w:rPr>
          <w:rFonts w:hint="eastAsia" w:ascii="宋体" w:hAnsi="宋体" w:eastAsia="宋体" w:cs="宋体"/>
          <w:highlight w:val="none"/>
        </w:rPr>
      </w:pPr>
      <w:r>
        <w:rPr>
          <w:rFonts w:hint="eastAsia" w:ascii="宋体" w:hAnsi="宋体" w:eastAsia="宋体" w:cs="宋体"/>
          <w:spacing w:val="-6"/>
          <w:highlight w:val="none"/>
        </w:rPr>
        <w:t>对利益相关者的法律责任，这一责任主要包括企业根据《中华人民共和国公</w:t>
      </w:r>
      <w:r>
        <w:rPr>
          <w:rFonts w:hint="eastAsia" w:ascii="宋体" w:hAnsi="宋体" w:eastAsia="宋体" w:cs="宋体"/>
          <w:spacing w:val="-13"/>
          <w:highlight w:val="none"/>
        </w:rPr>
        <w:t>司法》、 《</w:t>
      </w:r>
      <w:r>
        <w:rPr>
          <w:rFonts w:hint="eastAsia" w:cs="宋体"/>
          <w:spacing w:val="-13"/>
          <w:highlight w:val="none"/>
          <w:lang w:eastAsia="zh-CN"/>
        </w:rPr>
        <w:t>民法典</w:t>
      </w:r>
      <w:r>
        <w:rPr>
          <w:rFonts w:hint="eastAsia" w:ascii="宋体" w:hAnsi="宋体" w:eastAsia="宋体" w:cs="宋体"/>
          <w:spacing w:val="-13"/>
          <w:highlight w:val="none"/>
        </w:rPr>
        <w:t>》等法律法规，对出资人、债权人、供应商、</w:t>
      </w:r>
      <w:r>
        <w:rPr>
          <w:rFonts w:hint="eastAsia" w:ascii="宋体" w:hAnsi="宋体" w:eastAsia="宋体" w:cs="宋体"/>
          <w:spacing w:val="-9"/>
          <w:highlight w:val="none"/>
        </w:rPr>
        <w:t>合作商、客户、社区及其它社会团体等所有利益相关者必须遵守各类合同，按照</w:t>
      </w:r>
      <w:r>
        <w:rPr>
          <w:rFonts w:hint="eastAsia" w:ascii="宋体" w:hAnsi="宋体" w:eastAsia="宋体" w:cs="宋体"/>
          <w:spacing w:val="-14"/>
          <w:highlight w:val="none"/>
        </w:rPr>
        <w:t>法律规定进行利益分配，为社会提供最基本的产品和服务质量保证，不损害企业所在社区的合法权益，不影响其它社会团体的利益等内容。</w:t>
      </w:r>
    </w:p>
    <w:p w14:paraId="2493CCE1">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56" w:firstLineChars="200"/>
        <w:textAlignment w:val="auto"/>
        <w:rPr>
          <w:rFonts w:hint="eastAsia" w:ascii="宋体" w:hAnsi="宋体" w:eastAsia="宋体" w:cs="宋体"/>
          <w:spacing w:val="-6"/>
          <w:highlight w:val="none"/>
        </w:rPr>
      </w:pPr>
      <w:r>
        <w:rPr>
          <w:rFonts w:hint="eastAsia" w:ascii="宋体" w:hAnsi="宋体" w:eastAsia="宋体" w:cs="宋体"/>
          <w:spacing w:val="-6"/>
          <w:highlight w:val="none"/>
        </w:rPr>
        <w:t>对环境的法律责任，这一责任主要包括企业根据《中华人民共和国环境保护法》等法律法规，在生产经营活动中必须履行资源和能耗的节约标准，必须达到国家强制规定的污染排放标准，对不能达标的项目必须加强技术改造和污染治理，努力达到国家规定的各项环保标准等内容。</w:t>
      </w:r>
    </w:p>
    <w:p w14:paraId="2D34B45B">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56" w:firstLineChars="200"/>
        <w:textAlignment w:val="auto"/>
        <w:rPr>
          <w:rFonts w:hint="eastAsia" w:ascii="宋体" w:hAnsi="宋体" w:eastAsia="宋体" w:cs="宋体"/>
          <w:spacing w:val="-6"/>
          <w:highlight w:val="none"/>
        </w:rPr>
      </w:pPr>
      <w:r>
        <w:rPr>
          <w:rFonts w:hint="eastAsia" w:ascii="宋体" w:hAnsi="宋体" w:eastAsia="宋体" w:cs="宋体"/>
          <w:spacing w:val="-6"/>
          <w:highlight w:val="none"/>
        </w:rPr>
        <w:t>对员工的法律责任，这一责任主要包括企业根据《中华人民共和国劳动合同法》等法律法规，必须为员工生产提供安全保障，必须按照国家政策保证员工的各项福利待遇，必须为员工办理各种国家所规定的生育、失业、养老、疾病等基本社会保险等内容。</w:t>
      </w:r>
    </w:p>
    <w:p w14:paraId="7D8137B4">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456" w:firstLineChars="200"/>
        <w:jc w:val="center"/>
        <w:textAlignment w:val="auto"/>
        <w:rPr>
          <w:rFonts w:hint="eastAsia" w:ascii="宋体" w:hAnsi="宋体" w:eastAsia="宋体" w:cs="宋体"/>
          <w:spacing w:val="-6"/>
          <w:highlight w:val="none"/>
        </w:rPr>
      </w:pPr>
      <w:r>
        <w:rPr>
          <w:rFonts w:hint="eastAsia" w:ascii="宋体" w:hAnsi="宋体" w:eastAsia="宋体" w:cs="宋体"/>
          <w:spacing w:val="-6"/>
          <w:highlight w:val="none"/>
        </w:rPr>
        <w:t>对社会的法律责任，这一责任主要包括企业根据《中华人民共和国企业所得税法》、《中华人民共和国增值税暂行条例》等法律法规，必须完成所得税、增值税等各种利税上缴等责任。</w:t>
      </w:r>
      <w:bookmarkStart w:id="3" w:name="二、战略与管理"/>
      <w:bookmarkEnd w:id="3"/>
      <w:bookmarkStart w:id="4" w:name="_Toc24531706"/>
    </w:p>
    <w:p w14:paraId="1B977298">
      <w:pPr>
        <w:pStyle w:val="5"/>
        <w:keepNext w:val="0"/>
        <w:keepLines w:val="0"/>
        <w:pageBreakBefore w:val="0"/>
        <w:widowControl w:val="0"/>
        <w:kinsoku/>
        <w:wordWrap/>
        <w:overflowPunct/>
        <w:topLinePunct w:val="0"/>
        <w:autoSpaceDE w:val="0"/>
        <w:autoSpaceDN w:val="0"/>
        <w:bidi w:val="0"/>
        <w:adjustRightInd/>
        <w:snapToGrid/>
        <w:spacing w:line="360" w:lineRule="auto"/>
        <w:ind w:left="0" w:right="0" w:firstLine="643" w:firstLineChars="200"/>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二、战略与管理</w:t>
      </w:r>
      <w:bookmarkEnd w:id="4"/>
    </w:p>
    <w:p w14:paraId="10602726">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a）构建独具特色的企业文化并向相关方沟通宣贯</w:t>
      </w:r>
    </w:p>
    <w:p w14:paraId="183CDD8D">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企业文化是企业的思维方式和行事准则，是企业个性化的体现。它是植根于企业内部的精神载体，可以促进组织的管理发展，增强企业凝聚力，是一个企业的旗帜、灵魂和方向。从成立之初，随着企业的创立、成长与发展，</w:t>
      </w:r>
      <w:r>
        <w:rPr>
          <w:rFonts w:hint="eastAsia" w:cs="宋体"/>
          <w:highlight w:val="none"/>
          <w:lang w:eastAsia="zh-CN"/>
        </w:rPr>
        <w:t>惠同</w:t>
      </w:r>
      <w:r>
        <w:rPr>
          <w:rFonts w:hint="eastAsia" w:ascii="宋体" w:hAnsi="宋体" w:eastAsia="宋体" w:cs="宋体"/>
          <w:highlight w:val="none"/>
          <w:lang w:val="en-US"/>
        </w:rPr>
        <w:t>已</w:t>
      </w:r>
      <w:r>
        <w:rPr>
          <w:rFonts w:hint="eastAsia" w:ascii="宋体" w:hAnsi="宋体" w:eastAsia="宋体" w:cs="宋体"/>
          <w:highlight w:val="none"/>
        </w:rPr>
        <w:t>逐步形成了其独具特色的企业文化体系。</w:t>
      </w:r>
    </w:p>
    <w:p w14:paraId="623FCCAD">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1）确立以使命、愿景和价值观为和核心的文化</w:t>
      </w:r>
    </w:p>
    <w:p w14:paraId="4B9D102F">
      <w:pPr>
        <w:keepNext w:val="0"/>
        <w:keepLines w:val="0"/>
        <w:pageBreakBefore w:val="0"/>
        <w:kinsoku/>
        <w:wordWrap/>
        <w:overflowPunct/>
        <w:topLinePunct w:val="0"/>
        <w:autoSpaceDE w:val="0"/>
        <w:autoSpaceDN w:val="0"/>
        <w:bidi w:val="0"/>
        <w:adjustRightInd/>
        <w:spacing w:line="360" w:lineRule="auto"/>
        <w:ind w:left="0" w:right="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通过对市场进行详细调查，公司确立了专业</w:t>
      </w:r>
      <w:r>
        <w:rPr>
          <w:rFonts w:hint="eastAsia" w:ascii="宋体" w:hAnsi="宋体" w:eastAsia="宋体" w:cs="宋体"/>
          <w:color w:val="000000" w:themeColor="text1"/>
          <w:sz w:val="24"/>
          <w:szCs w:val="24"/>
          <w:highlight w:val="none"/>
          <w14:textFill>
            <w14:solidFill>
              <w14:schemeClr w14:val="tx1"/>
            </w14:solidFill>
          </w14:textFill>
        </w:rPr>
        <w:t>从事各类</w:t>
      </w:r>
      <w:r>
        <w:rPr>
          <w:rFonts w:hint="eastAsia"/>
          <w:color w:val="000000" w:themeColor="text1"/>
          <w:sz w:val="24"/>
          <w:szCs w:val="24"/>
          <w:highlight w:val="none"/>
          <w:lang w:val="en-US" w:eastAsia="zh-CN"/>
          <w14:textFill>
            <w14:solidFill>
              <w14:schemeClr w14:val="tx1"/>
            </w14:solidFill>
          </w14:textFill>
        </w:rPr>
        <w:t>涂板纸、茶叶滤纸、棉纸</w:t>
      </w:r>
      <w:r>
        <w:rPr>
          <w:rFonts w:hint="eastAsia"/>
          <w:color w:val="000000" w:themeColor="text1"/>
          <w:sz w:val="24"/>
          <w:szCs w:val="24"/>
          <w:highlight w:val="none"/>
          <w:lang w:val="en-US" w:eastAsia="zh-CN"/>
          <w14:textFill>
            <w14:solidFill>
              <w14:schemeClr w14:val="tx1"/>
            </w14:solidFill>
          </w14:textFill>
        </w:rPr>
        <w:t>的设计和生产</w:t>
      </w:r>
      <w:r>
        <w:rPr>
          <w:rFonts w:hint="eastAsia" w:ascii="宋体" w:hAnsi="宋体" w:eastAsia="宋体" w:cs="宋体"/>
          <w:sz w:val="24"/>
          <w:szCs w:val="24"/>
          <w:highlight w:val="none"/>
          <w:lang w:val="en-US"/>
        </w:rPr>
        <w:t>一体化经营管理活动的方向。</w:t>
      </w:r>
      <w:r>
        <w:rPr>
          <w:rFonts w:hint="eastAsia" w:ascii="宋体" w:hAnsi="宋体" w:eastAsia="宋体" w:cs="宋体"/>
          <w:sz w:val="24"/>
          <w:szCs w:val="24"/>
          <w:highlight w:val="none"/>
          <w:lang w:val="en-US"/>
        </w:rPr>
        <w:t>公司通过了质量管理体系</w:t>
      </w:r>
      <w:r>
        <w:rPr>
          <w:rFonts w:hint="eastAsia" w:cs="宋体"/>
          <w:sz w:val="24"/>
          <w:szCs w:val="24"/>
          <w:highlight w:val="none"/>
          <w:lang w:val="en-US" w:eastAsia="zh-CN"/>
        </w:rPr>
        <w:t>认证</w:t>
      </w:r>
      <w:r>
        <w:rPr>
          <w:rFonts w:hint="eastAsia" w:ascii="宋体" w:hAnsi="宋体" w:eastAsia="宋体" w:cs="宋体"/>
          <w:sz w:val="24"/>
          <w:szCs w:val="24"/>
          <w:highlight w:val="none"/>
          <w:lang w:val="en-US"/>
        </w:rPr>
        <w:t>、环境管理体系和职业健康安全管理体系</w:t>
      </w:r>
      <w:r>
        <w:rPr>
          <w:rFonts w:hint="eastAsia" w:ascii="宋体" w:hAnsi="宋体" w:eastAsia="宋体" w:cs="宋体"/>
          <w:sz w:val="24"/>
          <w:szCs w:val="24"/>
          <w:highlight w:val="none"/>
          <w:lang w:val="en-US"/>
        </w:rPr>
        <w:t>，并一直保持体系运行，每年接受</w:t>
      </w:r>
      <w:r>
        <w:rPr>
          <w:rFonts w:hint="eastAsia" w:ascii="宋体" w:hAnsi="宋体" w:eastAsia="宋体" w:cs="宋体"/>
          <w:sz w:val="24"/>
          <w:szCs w:val="24"/>
          <w:highlight w:val="none"/>
          <w:lang w:val="en-US" w:eastAsia="zh-CN"/>
        </w:rPr>
        <w:t>相关方</w:t>
      </w:r>
      <w:r>
        <w:rPr>
          <w:rFonts w:hint="eastAsia" w:ascii="宋体" w:hAnsi="宋体" w:eastAsia="宋体" w:cs="宋体"/>
          <w:sz w:val="24"/>
          <w:szCs w:val="24"/>
          <w:highlight w:val="none"/>
          <w:lang w:val="en-US"/>
        </w:rPr>
        <w:t>的监督审核；经过多年的体系运行，在内部管理方面日益提高。</w:t>
      </w:r>
    </w:p>
    <w:p w14:paraId="04B30DD8">
      <w:pPr>
        <w:keepNext w:val="0"/>
        <w:keepLines w:val="0"/>
        <w:pageBreakBefore w:val="0"/>
        <w:kinsoku/>
        <w:wordWrap/>
        <w:overflowPunct/>
        <w:topLinePunct w:val="0"/>
        <w:autoSpaceDE w:val="0"/>
        <w:autoSpaceDN w:val="0"/>
        <w:bidi w:val="0"/>
        <w:adjustRightInd/>
        <w:spacing w:line="360" w:lineRule="auto"/>
        <w:ind w:left="0" w:right="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公司自创建以来以一流的品质、优良的信誉，为诸多国内、国际著名品牌贴牌加工服务。</w:t>
      </w:r>
    </w:p>
    <w:p w14:paraId="616F3066">
      <w:pPr>
        <w:keepNext w:val="0"/>
        <w:keepLines w:val="0"/>
        <w:pageBreakBefore w:val="0"/>
        <w:kinsoku/>
        <w:wordWrap/>
        <w:overflowPunct/>
        <w:topLinePunct w:val="0"/>
        <w:autoSpaceDE w:val="0"/>
        <w:autoSpaceDN w:val="0"/>
        <w:bidi w:val="0"/>
        <w:adjustRightInd/>
        <w:spacing w:line="360" w:lineRule="auto"/>
        <w:ind w:left="0" w:right="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公司经过多年的运营，积累了较多的管理经验，培养了一批专业的管理人员、设计人员和操作能手，产品质量稳定，在顾客群中有较高的认可度。</w:t>
      </w:r>
    </w:p>
    <w:p w14:paraId="5E2A4A7B">
      <w:pPr>
        <w:keepNext w:val="0"/>
        <w:keepLines w:val="0"/>
        <w:pageBreakBefore w:val="0"/>
        <w:kinsoku/>
        <w:wordWrap/>
        <w:overflowPunct/>
        <w:topLinePunct w:val="0"/>
        <w:autoSpaceDE w:val="0"/>
        <w:autoSpaceDN w:val="0"/>
        <w:bidi w:val="0"/>
        <w:adjustRightInd/>
        <w:spacing w:line="360" w:lineRule="auto"/>
        <w:ind w:left="0" w:right="0" w:firstLine="480" w:firstLineChars="200"/>
        <w:textAlignment w:val="auto"/>
        <w:rPr>
          <w:rFonts w:hint="eastAsia" w:ascii="宋体" w:hAnsi="宋体" w:eastAsia="宋体" w:cs="宋体"/>
          <w:highlight w:val="none"/>
        </w:rPr>
      </w:pPr>
      <w:r>
        <w:rPr>
          <w:rFonts w:hint="eastAsia" w:ascii="宋体" w:hAnsi="宋体" w:eastAsia="宋体" w:cs="宋体"/>
          <w:sz w:val="24"/>
          <w:szCs w:val="24"/>
          <w:highlight w:val="none"/>
          <w:lang w:val="en-US"/>
        </w:rPr>
        <w:t>公司自创立以来，基于行业特点及企业发展逐步凝练了核心价值观，并随着公司的发展而不断调整和提升，最终提炼形成了公司的核心价值理念体系。</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9"/>
        <w:gridCol w:w="7977"/>
      </w:tblGrid>
      <w:tr w14:paraId="6E30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3" w:type="pct"/>
            <w:shd w:val="clear" w:color="auto" w:fill="4472C4"/>
            <w:vAlign w:val="center"/>
          </w:tcPr>
          <w:p w14:paraId="2475B9F6">
            <w:pPr>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文化构成</w:t>
            </w:r>
          </w:p>
        </w:tc>
        <w:tc>
          <w:tcPr>
            <w:tcW w:w="4046" w:type="pct"/>
            <w:shd w:val="clear" w:color="auto" w:fill="4472C4"/>
            <w:vAlign w:val="center"/>
          </w:tcPr>
          <w:p w14:paraId="365D2D49">
            <w:pPr>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表述</w:t>
            </w:r>
          </w:p>
        </w:tc>
      </w:tr>
      <w:tr w14:paraId="571F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3" w:type="pct"/>
            <w:shd w:val="clear" w:color="auto" w:fill="auto"/>
            <w:vAlign w:val="center"/>
          </w:tcPr>
          <w:p w14:paraId="4A383D78">
            <w:pPr>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使命</w:t>
            </w:r>
          </w:p>
        </w:tc>
        <w:tc>
          <w:tcPr>
            <w:tcW w:w="4046" w:type="pct"/>
            <w:shd w:val="clear" w:color="auto" w:fill="auto"/>
            <w:vAlign w:val="center"/>
          </w:tcPr>
          <w:p w14:paraId="01F8646A">
            <w:pPr>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lang w:eastAsia="zh-CN"/>
              </w:rPr>
            </w:pP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为客户提供高品质、高性价比的特种纸产品。</w:t>
            </w:r>
          </w:p>
        </w:tc>
      </w:tr>
      <w:tr w14:paraId="504F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953" w:type="pct"/>
            <w:shd w:val="clear" w:color="auto" w:fill="auto"/>
            <w:vAlign w:val="center"/>
          </w:tcPr>
          <w:p w14:paraId="35DB4B51">
            <w:pPr>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愿景</w:t>
            </w:r>
          </w:p>
        </w:tc>
        <w:tc>
          <w:tcPr>
            <w:tcW w:w="4046" w:type="pct"/>
            <w:shd w:val="clear" w:color="auto" w:fill="auto"/>
            <w:vAlign w:val="center"/>
          </w:tcPr>
          <w:p w14:paraId="5E29EAF6">
            <w:pPr>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致力于成为国内薄形纸行业的引领者。</w:t>
            </w:r>
          </w:p>
        </w:tc>
      </w:tr>
      <w:tr w14:paraId="2D6B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53" w:type="pct"/>
            <w:shd w:val="clear" w:color="auto" w:fill="auto"/>
            <w:vAlign w:val="center"/>
          </w:tcPr>
          <w:p w14:paraId="01A70237">
            <w:pPr>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价值观</w:t>
            </w:r>
          </w:p>
        </w:tc>
        <w:tc>
          <w:tcPr>
            <w:tcW w:w="4046" w:type="pct"/>
            <w:shd w:val="clear" w:color="auto" w:fill="auto"/>
            <w:vAlign w:val="center"/>
          </w:tcPr>
          <w:p w14:paraId="189D1DE8">
            <w:pPr>
              <w:adjustRightInd w:val="0"/>
              <w:snapToGrid w:val="0"/>
              <w:spacing w:line="360" w:lineRule="auto"/>
              <w:ind w:firstLine="480"/>
              <w:jc w:val="center"/>
              <w:rPr>
                <w:rFonts w:hint="eastAsia" w:ascii="宋体" w:hAnsi="宋体" w:eastAsia="宋体" w:cs="宋体"/>
                <w:color w:val="000000"/>
                <w:highlight w:val="none"/>
              </w:rPr>
            </w:pP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客户至上、团队合作、家、诚信、责任、激情、匠心。</w:t>
            </w:r>
          </w:p>
        </w:tc>
      </w:tr>
    </w:tbl>
    <w:p w14:paraId="77ECF417">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r>
        <w:rPr>
          <w:rFonts w:hint="eastAsia" w:ascii="宋体" w:hAnsi="宋体" w:eastAsia="宋体" w:cs="宋体"/>
          <w:highlight w:val="none"/>
          <w:lang w:val="en-US"/>
        </w:rPr>
        <w:t>图</w:t>
      </w:r>
      <w:r>
        <w:rPr>
          <w:rFonts w:hint="eastAsia" w:ascii="宋体" w:hAnsi="宋体" w:eastAsia="宋体" w:cs="宋体"/>
          <w:highlight w:val="none"/>
        </w:rPr>
        <w:t>表</w:t>
      </w:r>
      <w:r>
        <w:rPr>
          <w:rFonts w:hint="eastAsia" w:ascii="宋体" w:hAnsi="宋体" w:eastAsia="宋体" w:cs="宋体"/>
          <w:highlight w:val="none"/>
          <w:lang w:val="en-US"/>
        </w:rPr>
        <w:t>2</w:t>
      </w:r>
      <w:r>
        <w:rPr>
          <w:rFonts w:hint="eastAsia" w:ascii="宋体" w:hAnsi="宋体" w:eastAsia="宋体" w:cs="宋体"/>
          <w:highlight w:val="none"/>
        </w:rPr>
        <w:t>.1-</w:t>
      </w:r>
      <w:r>
        <w:rPr>
          <w:rFonts w:hint="eastAsia" w:ascii="宋体" w:hAnsi="宋体" w:eastAsia="宋体" w:cs="宋体"/>
          <w:highlight w:val="none"/>
          <w:lang w:val="en-US"/>
        </w:rPr>
        <w:t>1</w:t>
      </w:r>
      <w:r>
        <w:rPr>
          <w:rFonts w:hint="eastAsia" w:ascii="宋体" w:hAnsi="宋体" w:eastAsia="宋体" w:cs="宋体"/>
          <w:highlight w:val="none"/>
        </w:rPr>
        <w:t xml:space="preserve"> 企业文化体系</w:t>
      </w:r>
    </w:p>
    <w:p w14:paraId="01A9E0B0">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lang w:eastAsia="zh-CN"/>
        </w:rPr>
      </w:pPr>
      <w:bookmarkStart w:id="5" w:name="_Ref329948790"/>
      <w:r>
        <w:rPr>
          <w:rFonts w:hint="eastAsia" w:ascii="宋体" w:hAnsi="宋体" w:eastAsia="宋体" w:cs="宋体"/>
          <w:sz w:val="24"/>
          <w:szCs w:val="24"/>
          <w:highlight w:val="none"/>
          <w:lang w:val="en-US"/>
        </w:rPr>
        <w:t>企业使命：</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为客户提供高品质、高性价比的特种纸产品。</w:t>
      </w:r>
    </w:p>
    <w:p w14:paraId="75BD47CF">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随着物质文化生活和精神文化生活不断的提高，消费者追求高品质生活的理念转变，在追求现代化快捷式生活的同时，</w:t>
      </w:r>
      <w:r>
        <w:rPr>
          <w:rFonts w:hint="eastAsia" w:cs="宋体"/>
          <w:highlight w:val="none"/>
          <w:lang w:val="en-US" w:eastAsia="zh-CN"/>
        </w:rPr>
        <w:t>纸制品</w:t>
      </w:r>
      <w:r>
        <w:rPr>
          <w:rFonts w:hint="eastAsia" w:ascii="宋体" w:hAnsi="宋体" w:eastAsia="宋体" w:cs="宋体"/>
          <w:highlight w:val="none"/>
        </w:rPr>
        <w:t>同样也成了现代人选择消费时一个主要的考虑点。公司专业致力于</w:t>
      </w:r>
      <w:r>
        <w:rPr>
          <w:rFonts w:hint="eastAsia"/>
          <w:color w:val="000000" w:themeColor="text1"/>
          <w:sz w:val="24"/>
          <w:szCs w:val="24"/>
          <w:highlight w:val="none"/>
          <w:lang w:val="en-US" w:eastAsia="zh-CN"/>
          <w14:textFill>
            <w14:solidFill>
              <w14:schemeClr w14:val="tx1"/>
            </w14:solidFill>
          </w14:textFill>
        </w:rPr>
        <w:t>涂板纸、茶叶滤纸、棉纸</w:t>
      </w:r>
      <w:r>
        <w:rPr>
          <w:rFonts w:hint="eastAsia" w:ascii="宋体" w:hAnsi="宋体" w:eastAsia="宋体" w:cs="宋体"/>
          <w:highlight w:val="none"/>
        </w:rPr>
        <w:t>生产和销售，为客户和社会</w:t>
      </w:r>
      <w:r>
        <w:rPr>
          <w:rFonts w:hint="eastAsia" w:ascii="宋体" w:hAnsi="宋体" w:eastAsia="宋体" w:cs="宋体"/>
          <w:highlight w:val="none"/>
          <w:lang w:val="en-US" w:eastAsia="zh-CN"/>
        </w:rPr>
        <w:t>提供性价比高的</w:t>
      </w:r>
      <w:r>
        <w:rPr>
          <w:rFonts w:hint="eastAsia"/>
          <w:color w:val="000000" w:themeColor="text1"/>
          <w:sz w:val="24"/>
          <w:szCs w:val="24"/>
          <w:highlight w:val="none"/>
          <w:lang w:val="en-US" w:eastAsia="zh-CN"/>
          <w14:textFill>
            <w14:solidFill>
              <w14:schemeClr w14:val="tx1"/>
            </w14:solidFill>
          </w14:textFill>
        </w:rPr>
        <w:t>涂板纸、茶叶滤纸、棉纸</w:t>
      </w:r>
      <w:r>
        <w:rPr>
          <w:rFonts w:hint="eastAsia" w:ascii="宋体" w:hAnsi="宋体" w:eastAsia="宋体" w:cs="宋体"/>
          <w:highlight w:val="none"/>
        </w:rPr>
        <w:t>是所有</w:t>
      </w:r>
      <w:r>
        <w:rPr>
          <w:rFonts w:hint="eastAsia" w:cs="宋体"/>
          <w:highlight w:val="none"/>
          <w:lang w:eastAsia="zh-CN"/>
        </w:rPr>
        <w:t>惠同</w:t>
      </w:r>
      <w:r>
        <w:rPr>
          <w:rFonts w:hint="eastAsia" w:ascii="宋体" w:hAnsi="宋体" w:eastAsia="宋体" w:cs="宋体"/>
          <w:highlight w:val="none"/>
        </w:rPr>
        <w:t>人努力为之奋斗的使命。</w:t>
      </w:r>
    </w:p>
    <w:p w14:paraId="115C0B49">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企业愿景：</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致力于成为国内薄形纸行业的引领者</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w:t>
      </w:r>
    </w:p>
    <w:p w14:paraId="7C3620B0">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lang w:val="en-US"/>
        </w:rPr>
        <w:t>公司自创建以来以一流的品质、优良的信誉，</w:t>
      </w:r>
      <w:r>
        <w:rPr>
          <w:rFonts w:hint="eastAsia" w:ascii="宋体" w:hAnsi="宋体" w:eastAsia="宋体" w:cs="宋体"/>
          <w:highlight w:val="none"/>
        </w:rPr>
        <w:t>目前在国内外市场已有</w:t>
      </w:r>
      <w:r>
        <w:rPr>
          <w:rFonts w:hint="eastAsia" w:ascii="宋体" w:hAnsi="宋体" w:eastAsia="宋体" w:cs="宋体"/>
          <w:highlight w:val="none"/>
          <w:lang w:val="en-US"/>
        </w:rPr>
        <w:t>一定</w:t>
      </w:r>
      <w:r>
        <w:rPr>
          <w:rFonts w:hint="eastAsia" w:ascii="宋体" w:hAnsi="宋体" w:eastAsia="宋体" w:cs="宋体"/>
          <w:highlight w:val="none"/>
        </w:rPr>
        <w:t>的行业地位与影响力，结合当代社会经济发展形式，我公司致力于</w:t>
      </w:r>
      <w:r>
        <w:rPr>
          <w:rFonts w:hint="eastAsia" w:ascii="宋体" w:hAnsi="宋体" w:eastAsia="宋体" w:cs="宋体"/>
          <w:sz w:val="24"/>
          <w:szCs w:val="24"/>
          <w:highlight w:val="none"/>
        </w:rPr>
        <w:t>户优先、品质至上、产品创新</w:t>
      </w:r>
      <w:r>
        <w:rPr>
          <w:rFonts w:hint="eastAsia" w:ascii="宋体" w:hAnsi="宋体" w:eastAsia="宋体" w:cs="宋体"/>
          <w:highlight w:val="none"/>
        </w:rPr>
        <w:t>。</w:t>
      </w:r>
    </w:p>
    <w:p w14:paraId="58C60B75">
      <w:pPr>
        <w:adjustRightInd w:val="0"/>
        <w:snapToGrid w:val="0"/>
        <w:spacing w:line="360" w:lineRule="auto"/>
        <w:ind w:firstLine="480"/>
        <w:rPr>
          <w:rFonts w:hint="eastAsia" w:ascii="宋体" w:hAnsi="宋体" w:eastAsia="宋体" w:cs="宋体"/>
          <w:highlight w:val="none"/>
        </w:rPr>
      </w:pPr>
      <w:r>
        <w:rPr>
          <w:rFonts w:hint="eastAsia" w:ascii="宋体" w:hAnsi="宋体" w:eastAsia="宋体" w:cs="宋体"/>
          <w:sz w:val="24"/>
          <w:szCs w:val="24"/>
          <w:highlight w:val="none"/>
          <w:lang w:val="en-US" w:eastAsia="zh-CN" w:bidi="zh-CN"/>
        </w:rPr>
        <w:t>核心价值观：</w:t>
      </w:r>
      <w:r>
        <w:rPr>
          <w:rFonts w:hint="eastAsia" w:cs="宋体"/>
          <w:sz w:val="24"/>
          <w:szCs w:val="24"/>
          <w:highlight w:val="none"/>
          <w:lang w:val="en-US" w:eastAsia="zh-CN" w:bidi="zh-CN"/>
        </w:rPr>
        <w:t>客户至上、团队合作、家、诚信、责任、激情、匠心。</w:t>
      </w:r>
    </w:p>
    <w:p w14:paraId="5B4E7053">
      <w:pPr>
        <w:adjustRightInd w:val="0"/>
        <w:snapToGrid w:val="0"/>
        <w:spacing w:line="360" w:lineRule="auto"/>
        <w:ind w:firstLine="480"/>
        <w:rPr>
          <w:rFonts w:hint="eastAsia" w:ascii="宋体" w:hAnsi="宋体" w:eastAsia="宋体" w:cs="宋体"/>
          <w:sz w:val="24"/>
          <w:szCs w:val="24"/>
          <w:highlight w:val="none"/>
          <w:lang w:val="en-US" w:eastAsia="zh-CN" w:bidi="zh-CN"/>
        </w:rPr>
      </w:pPr>
      <w:r>
        <w:rPr>
          <w:rFonts w:hint="eastAsia" w:cs="宋体"/>
          <w:sz w:val="24"/>
          <w:szCs w:val="24"/>
          <w:highlight w:val="none"/>
          <w:lang w:val="en-US" w:eastAsia="zh-CN" w:bidi="zh-CN"/>
        </w:rPr>
        <w:t>客户至上、团队合作、家、诚信、责任、激情、匠心</w:t>
      </w:r>
      <w:r>
        <w:rPr>
          <w:rFonts w:hint="eastAsia" w:ascii="宋体" w:hAnsi="宋体" w:eastAsia="宋体" w:cs="宋体"/>
          <w:sz w:val="24"/>
          <w:szCs w:val="24"/>
          <w:highlight w:val="none"/>
          <w:lang w:val="zh-CN" w:eastAsia="zh-CN" w:bidi="zh-CN"/>
        </w:rPr>
        <w:t>是我们的核心价值观</w:t>
      </w:r>
      <w:r>
        <w:rPr>
          <w:rFonts w:hint="eastAsia" w:ascii="宋体" w:hAnsi="宋体" w:eastAsia="宋体" w:cs="宋体"/>
          <w:highlight w:val="none"/>
        </w:rPr>
        <w:t>，</w:t>
      </w:r>
      <w:r>
        <w:rPr>
          <w:rFonts w:hint="eastAsia" w:ascii="宋体" w:hAnsi="宋体" w:eastAsia="宋体" w:cs="宋体"/>
          <w:sz w:val="24"/>
          <w:szCs w:val="24"/>
          <w:highlight w:val="none"/>
          <w:lang w:val="zh-CN" w:eastAsia="zh-CN" w:bidi="zh-CN"/>
        </w:rPr>
        <w:t>一个企业在发展过程中应该有所担当，</w:t>
      </w:r>
      <w:r>
        <w:rPr>
          <w:rFonts w:hint="eastAsia" w:ascii="宋体" w:hAnsi="宋体" w:eastAsia="宋体" w:cs="宋体"/>
          <w:sz w:val="24"/>
          <w:szCs w:val="24"/>
          <w:highlight w:val="none"/>
          <w:lang w:val="en-US" w:eastAsia="zh-CN" w:bidi="zh-CN"/>
        </w:rPr>
        <w:t>诚信为本，</w:t>
      </w:r>
      <w:r>
        <w:rPr>
          <w:rFonts w:hint="eastAsia" w:ascii="宋体" w:hAnsi="宋体" w:eastAsia="宋体" w:cs="宋体"/>
          <w:sz w:val="24"/>
          <w:szCs w:val="24"/>
          <w:highlight w:val="none"/>
          <w:lang w:val="zh-CN" w:eastAsia="zh-CN" w:bidi="zh-CN"/>
        </w:rPr>
        <w:t>为客户创造价值，为员工创造机会，为企业、社会创造财富，</w:t>
      </w:r>
      <w:r>
        <w:rPr>
          <w:rFonts w:hint="eastAsia" w:ascii="宋体" w:hAnsi="宋体" w:eastAsia="宋体" w:cs="宋体"/>
          <w:sz w:val="24"/>
          <w:szCs w:val="24"/>
          <w:highlight w:val="none"/>
          <w:lang w:val="en-US" w:eastAsia="zh-CN" w:bidi="zh-CN"/>
        </w:rPr>
        <w:t>和谐共赢。</w:t>
      </w:r>
    </w:p>
    <w:bookmarkEnd w:id="5"/>
    <w:p w14:paraId="3A5330FB">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2）企业文化理念的宣贯</w:t>
      </w:r>
    </w:p>
    <w:p w14:paraId="463B6D2D">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公司最高管理者非常注重企业文化建设，他相信“文化是最顶层，包括团队的方向，追求持续经营，要做顶级供应商就必须打造好企业文化”。</w:t>
      </w:r>
    </w:p>
    <w:p w14:paraId="68187CFD">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r>
        <w:rPr>
          <w:rFonts w:hint="eastAsia" w:ascii="宋体" w:hAnsi="宋体" w:eastAsia="宋体" w:cs="宋体"/>
          <w:highlight w:val="none"/>
          <w:lang w:val="en-US" w:bidi="ar-SA"/>
        </w:rPr>
        <w:drawing>
          <wp:inline distT="0" distB="0" distL="114300" distR="114300">
            <wp:extent cx="4525645" cy="2484120"/>
            <wp:effectExtent l="0" t="0" r="0" b="0"/>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pic:cNvPicPr>
                  </pic:nvPicPr>
                  <pic:blipFill>
                    <a:blip r:embed="rId11"/>
                    <a:stretch>
                      <a:fillRect/>
                    </a:stretch>
                  </pic:blipFill>
                  <pic:spPr>
                    <a:xfrm>
                      <a:off x="0" y="0"/>
                      <a:ext cx="4525645" cy="2484120"/>
                    </a:xfrm>
                    <a:prstGeom prst="rect">
                      <a:avLst/>
                    </a:prstGeom>
                    <a:noFill/>
                    <a:ln>
                      <a:noFill/>
                    </a:ln>
                  </pic:spPr>
                </pic:pic>
              </a:graphicData>
            </a:graphic>
          </wp:inline>
        </w:drawing>
      </w:r>
    </w:p>
    <w:p w14:paraId="073589DD">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r>
        <w:rPr>
          <w:rFonts w:hint="eastAsia" w:ascii="宋体" w:hAnsi="宋体" w:eastAsia="宋体" w:cs="宋体"/>
          <w:highlight w:val="none"/>
        </w:rPr>
        <w:t>图表</w:t>
      </w:r>
      <w:r>
        <w:rPr>
          <w:rFonts w:hint="eastAsia" w:ascii="宋体" w:hAnsi="宋体" w:eastAsia="宋体" w:cs="宋体"/>
          <w:highlight w:val="none"/>
          <w:lang w:val="en-US"/>
        </w:rPr>
        <w:t>2</w:t>
      </w:r>
      <w:r>
        <w:rPr>
          <w:rFonts w:hint="eastAsia" w:ascii="宋体" w:hAnsi="宋体" w:eastAsia="宋体" w:cs="宋体"/>
          <w:highlight w:val="none"/>
        </w:rPr>
        <w:t>.1-</w:t>
      </w:r>
      <w:r>
        <w:rPr>
          <w:rFonts w:hint="eastAsia" w:ascii="宋体" w:hAnsi="宋体" w:eastAsia="宋体" w:cs="宋体"/>
          <w:highlight w:val="none"/>
        </w:rPr>
        <w:fldChar w:fldCharType="begin"/>
      </w:r>
      <w:r>
        <w:rPr>
          <w:rFonts w:hint="eastAsia" w:ascii="宋体" w:hAnsi="宋体" w:eastAsia="宋体" w:cs="宋体"/>
          <w:highlight w:val="none"/>
        </w:rPr>
        <w:instrText xml:space="preserve">SEQ 图表4.1- \* ARABIC</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highlight w:val="none"/>
        </w:rPr>
        <w:t xml:space="preserve"> 公司多渠道企业文化传播</w:t>
      </w:r>
    </w:p>
    <w:p w14:paraId="28C7A806">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最高管理者希望</w:t>
      </w:r>
      <w:r>
        <w:rPr>
          <w:rFonts w:hint="eastAsia" w:cs="宋体"/>
          <w:highlight w:val="none"/>
          <w:lang w:eastAsia="zh-CN"/>
        </w:rPr>
        <w:t>惠同</w:t>
      </w:r>
      <w:r>
        <w:rPr>
          <w:rFonts w:hint="eastAsia" w:ascii="宋体" w:hAnsi="宋体" w:eastAsia="宋体" w:cs="宋体"/>
          <w:highlight w:val="none"/>
        </w:rPr>
        <w:t>优秀的企业文化能培养更多的优秀人才，继而以优秀的人才团队推动企业的快速发展，使</w:t>
      </w:r>
      <w:r>
        <w:rPr>
          <w:rFonts w:hint="eastAsia" w:cs="宋体"/>
          <w:highlight w:val="none"/>
          <w:lang w:eastAsia="zh-CN"/>
        </w:rPr>
        <w:t>惠同</w:t>
      </w:r>
      <w:r>
        <w:rPr>
          <w:rFonts w:hint="eastAsia" w:ascii="宋体" w:hAnsi="宋体" w:eastAsia="宋体" w:cs="宋体"/>
          <w:highlight w:val="none"/>
        </w:rPr>
        <w:t>早日成为国际一流公司，早日达到既定目标，实现崇高理想。</w:t>
      </w:r>
    </w:p>
    <w:p w14:paraId="657868CE">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r>
        <w:rPr>
          <w:rFonts w:hint="eastAsia" w:ascii="宋体" w:hAnsi="宋体" w:eastAsia="宋体" w:cs="宋体"/>
          <w:highlight w:val="none"/>
        </w:rPr>
        <w:t>图表</w:t>
      </w:r>
      <w:r>
        <w:rPr>
          <w:rFonts w:hint="eastAsia" w:ascii="宋体" w:hAnsi="宋体" w:eastAsia="宋体" w:cs="宋体"/>
          <w:highlight w:val="none"/>
          <w:lang w:val="en-US"/>
        </w:rPr>
        <w:t>2</w:t>
      </w:r>
      <w:r>
        <w:rPr>
          <w:rFonts w:hint="eastAsia" w:ascii="宋体" w:hAnsi="宋体" w:eastAsia="宋体" w:cs="宋体"/>
          <w:highlight w:val="none"/>
        </w:rPr>
        <w:t>.1-</w:t>
      </w:r>
      <w:r>
        <w:rPr>
          <w:rFonts w:hint="eastAsia" w:ascii="宋体" w:hAnsi="宋体" w:eastAsia="宋体" w:cs="宋体"/>
          <w:highlight w:val="none"/>
        </w:rPr>
        <w:fldChar w:fldCharType="begin"/>
      </w:r>
      <w:r>
        <w:rPr>
          <w:rFonts w:hint="eastAsia" w:ascii="宋体" w:hAnsi="宋体" w:eastAsia="宋体" w:cs="宋体"/>
          <w:highlight w:val="none"/>
        </w:rPr>
        <w:instrText xml:space="preserve">SEQ 图表4.1- \* ARABIC</w:instrText>
      </w:r>
      <w:r>
        <w:rPr>
          <w:rFonts w:hint="eastAsia" w:ascii="宋体" w:hAnsi="宋体" w:eastAsia="宋体" w:cs="宋体"/>
          <w:highlight w:val="none"/>
        </w:rPr>
        <w:fldChar w:fldCharType="separate"/>
      </w:r>
      <w:r>
        <w:rPr>
          <w:rFonts w:hint="eastAsia" w:ascii="宋体" w:hAnsi="宋体" w:eastAsia="宋体" w:cs="宋体"/>
          <w:highlight w:val="none"/>
        </w:rPr>
        <w:t>3</w:t>
      </w:r>
      <w:r>
        <w:rPr>
          <w:rFonts w:hint="eastAsia" w:ascii="宋体" w:hAnsi="宋体" w:eastAsia="宋体" w:cs="宋体"/>
          <w:highlight w:val="none"/>
        </w:rPr>
        <w:fldChar w:fldCharType="end"/>
      </w:r>
      <w:r>
        <w:rPr>
          <w:rFonts w:hint="eastAsia" w:ascii="宋体" w:hAnsi="宋体" w:eastAsia="宋体" w:cs="宋体"/>
          <w:highlight w:val="none"/>
        </w:rPr>
        <w:t xml:space="preserve"> 企业文化宣传一览表</w:t>
      </w:r>
    </w:p>
    <w:tbl>
      <w:tblPr>
        <w:tblStyle w:val="1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9"/>
        <w:gridCol w:w="574"/>
        <w:gridCol w:w="2013"/>
        <w:gridCol w:w="2485"/>
        <w:gridCol w:w="1883"/>
        <w:gridCol w:w="2420"/>
      </w:tblGrid>
      <w:tr w14:paraId="752DD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tblHeader/>
          <w:jc w:val="center"/>
        </w:trPr>
        <w:tc>
          <w:tcPr>
            <w:tcW w:w="534" w:type="pct"/>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2B037B46">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b/>
                <w:highlight w:val="none"/>
              </w:rPr>
            </w:pPr>
            <w:r>
              <w:rPr>
                <w:rFonts w:hint="eastAsia" w:ascii="宋体" w:hAnsi="宋体" w:eastAsia="宋体" w:cs="宋体"/>
                <w:b/>
                <w:highlight w:val="none"/>
              </w:rPr>
              <w:t>对象</w:t>
            </w:r>
          </w:p>
        </w:tc>
        <w:tc>
          <w:tcPr>
            <w:tcW w:w="1021" w:type="pct"/>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01CC24D0">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b/>
                <w:highlight w:val="none"/>
              </w:rPr>
            </w:pPr>
            <w:r>
              <w:rPr>
                <w:rFonts w:hint="eastAsia" w:ascii="宋体" w:hAnsi="宋体" w:eastAsia="宋体" w:cs="宋体"/>
                <w:b/>
                <w:highlight w:val="none"/>
              </w:rPr>
              <w:t>宣传渠道</w:t>
            </w:r>
          </w:p>
        </w:tc>
        <w:tc>
          <w:tcPr>
            <w:tcW w:w="1260" w:type="pct"/>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4E04CCE1">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b/>
                <w:highlight w:val="none"/>
              </w:rPr>
            </w:pPr>
            <w:r>
              <w:rPr>
                <w:rFonts w:hint="eastAsia" w:ascii="宋体" w:hAnsi="宋体" w:eastAsia="宋体" w:cs="宋体"/>
                <w:b/>
                <w:highlight w:val="none"/>
              </w:rPr>
              <w:t>宣传内容</w:t>
            </w:r>
          </w:p>
        </w:tc>
        <w:tc>
          <w:tcPr>
            <w:tcW w:w="955" w:type="pct"/>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3723899D">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b/>
                <w:highlight w:val="none"/>
              </w:rPr>
            </w:pPr>
            <w:r>
              <w:rPr>
                <w:rFonts w:hint="eastAsia" w:ascii="宋体" w:hAnsi="宋体" w:eastAsia="宋体" w:cs="宋体"/>
                <w:b/>
                <w:highlight w:val="none"/>
              </w:rPr>
              <w:t>效果</w:t>
            </w:r>
          </w:p>
        </w:tc>
        <w:tc>
          <w:tcPr>
            <w:tcW w:w="1227" w:type="pct"/>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14:paraId="5AFA5AD7">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b/>
                <w:highlight w:val="none"/>
              </w:rPr>
            </w:pPr>
            <w:r>
              <w:rPr>
                <w:rFonts w:hint="eastAsia" w:ascii="宋体" w:hAnsi="宋体" w:eastAsia="宋体" w:cs="宋体"/>
                <w:b/>
                <w:highlight w:val="none"/>
              </w:rPr>
              <w:t>评价机制</w:t>
            </w:r>
          </w:p>
        </w:tc>
      </w:tr>
      <w:tr w14:paraId="0EDB0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5" w:hRule="atLeast"/>
          <w:jc w:val="center"/>
        </w:trPr>
        <w:tc>
          <w:tcPr>
            <w:tcW w:w="243" w:type="pct"/>
            <w:tcBorders>
              <w:top w:val="single" w:color="000000" w:sz="4" w:space="0"/>
              <w:left w:val="single" w:color="000000" w:sz="4" w:space="0"/>
              <w:bottom w:val="single" w:color="000000" w:sz="4" w:space="0"/>
              <w:right w:val="single" w:color="auto" w:sz="4" w:space="0"/>
            </w:tcBorders>
            <w:shd w:val="clear" w:color="auto" w:fill="auto"/>
            <w:vAlign w:val="center"/>
          </w:tcPr>
          <w:p w14:paraId="64C519FB">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内部</w:t>
            </w:r>
          </w:p>
        </w:tc>
        <w:tc>
          <w:tcPr>
            <w:tcW w:w="291" w:type="pct"/>
            <w:tcBorders>
              <w:top w:val="single" w:color="000000" w:sz="4" w:space="0"/>
              <w:left w:val="single" w:color="auto" w:sz="4" w:space="0"/>
              <w:bottom w:val="single" w:color="000000" w:sz="4" w:space="0"/>
              <w:right w:val="single" w:color="000000" w:sz="4" w:space="0"/>
            </w:tcBorders>
            <w:shd w:val="clear" w:color="auto" w:fill="auto"/>
            <w:vAlign w:val="center"/>
          </w:tcPr>
          <w:p w14:paraId="15BFF86A">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员工</w:t>
            </w:r>
          </w:p>
        </w:tc>
        <w:tc>
          <w:tcPr>
            <w:tcW w:w="1021" w:type="pct"/>
            <w:tcBorders>
              <w:top w:val="single" w:color="000000" w:sz="4" w:space="0"/>
              <w:left w:val="single" w:color="000000" w:sz="4" w:space="0"/>
              <w:right w:val="single" w:color="000000" w:sz="4" w:space="0"/>
            </w:tcBorders>
            <w:shd w:val="clear" w:color="auto" w:fill="auto"/>
            <w:vAlign w:val="center"/>
          </w:tcPr>
          <w:p w14:paraId="30591F4D">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通讯平台、微信公众平台、年会、培训、优秀文化案例等</w:t>
            </w:r>
          </w:p>
        </w:tc>
        <w:tc>
          <w:tcPr>
            <w:tcW w:w="1260" w:type="pct"/>
            <w:tcBorders>
              <w:top w:val="single" w:color="000000" w:sz="4" w:space="0"/>
              <w:left w:val="single" w:color="000000" w:sz="4" w:space="0"/>
              <w:right w:val="single" w:color="000000" w:sz="4" w:space="0"/>
            </w:tcBorders>
            <w:shd w:val="clear" w:color="auto" w:fill="auto"/>
            <w:vAlign w:val="center"/>
          </w:tcPr>
          <w:p w14:paraId="3C4F24C9">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文化制度、活动展示、优秀文化案例、优秀员工事迹、高层讲文化与自身创业故事</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FB85">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提高员工企业文化认知度、认同度、满意度</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72E16">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员工满意度调查、标杆员工等</w:t>
            </w:r>
          </w:p>
        </w:tc>
      </w:tr>
      <w:tr w14:paraId="7F8CB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43"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7DFA4779">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外部</w:t>
            </w:r>
          </w:p>
        </w:tc>
        <w:tc>
          <w:tcPr>
            <w:tcW w:w="291" w:type="pct"/>
            <w:tcBorders>
              <w:top w:val="single" w:color="000000" w:sz="4" w:space="0"/>
              <w:left w:val="single" w:color="auto" w:sz="4" w:space="0"/>
              <w:bottom w:val="single" w:color="000000" w:sz="4" w:space="0"/>
              <w:right w:val="single" w:color="000000" w:sz="4" w:space="0"/>
            </w:tcBorders>
            <w:shd w:val="clear" w:color="auto" w:fill="auto"/>
            <w:vAlign w:val="center"/>
          </w:tcPr>
          <w:p w14:paraId="72983297">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顾客</w:t>
            </w:r>
          </w:p>
        </w:tc>
        <w:tc>
          <w:tcPr>
            <w:tcW w:w="1021" w:type="pct"/>
            <w:tcBorders>
              <w:top w:val="single" w:color="000000" w:sz="4" w:space="0"/>
              <w:left w:val="single" w:color="000000" w:sz="4" w:space="0"/>
              <w:right w:val="single" w:color="000000" w:sz="4" w:space="0"/>
            </w:tcBorders>
            <w:shd w:val="clear" w:color="auto" w:fill="auto"/>
            <w:vAlign w:val="center"/>
          </w:tcPr>
          <w:p w14:paraId="05282CCA">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展示厅、文化墙、文化案例传播、员工培训等</w:t>
            </w:r>
          </w:p>
        </w:tc>
        <w:tc>
          <w:tcPr>
            <w:tcW w:w="1260" w:type="pct"/>
            <w:tcBorders>
              <w:top w:val="single" w:color="000000" w:sz="4" w:space="0"/>
              <w:left w:val="single" w:color="000000" w:sz="4" w:space="0"/>
              <w:right w:val="single" w:color="000000" w:sz="4" w:space="0"/>
            </w:tcBorders>
            <w:shd w:val="clear" w:color="auto" w:fill="auto"/>
            <w:vAlign w:val="center"/>
          </w:tcPr>
          <w:p w14:paraId="713D6D3E">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文化动态、优秀文化案例、文化讲解、成果展示</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30B32">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提高客户公司文化认同度</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FB8B5">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满意度调查、企业文化认同等</w:t>
            </w:r>
          </w:p>
        </w:tc>
      </w:tr>
      <w:tr w14:paraId="3BBEA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4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C13FF24">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p>
        </w:tc>
        <w:tc>
          <w:tcPr>
            <w:tcW w:w="291" w:type="pct"/>
            <w:tcBorders>
              <w:top w:val="single" w:color="000000" w:sz="4" w:space="0"/>
              <w:left w:val="single" w:color="auto" w:sz="4" w:space="0"/>
              <w:bottom w:val="single" w:color="000000" w:sz="4" w:space="0"/>
              <w:right w:val="single" w:color="000000" w:sz="4" w:space="0"/>
            </w:tcBorders>
            <w:shd w:val="clear" w:color="auto" w:fill="auto"/>
            <w:vAlign w:val="center"/>
          </w:tcPr>
          <w:p w14:paraId="5126CD10">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供方</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DDEE">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微信公众号、供应商会等</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96337">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质量文化、效率文化</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46A6">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质量承诺书的签订 </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C3658">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提高交付效率和质量、文化落地情况和效果</w:t>
            </w:r>
          </w:p>
        </w:tc>
      </w:tr>
      <w:tr w14:paraId="31A63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5" w:hRule="atLeast"/>
          <w:jc w:val="center"/>
        </w:trPr>
        <w:tc>
          <w:tcPr>
            <w:tcW w:w="24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C718096">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p>
        </w:tc>
        <w:tc>
          <w:tcPr>
            <w:tcW w:w="291" w:type="pct"/>
            <w:tcBorders>
              <w:top w:val="single" w:color="000000" w:sz="4" w:space="0"/>
              <w:left w:val="single" w:color="auto" w:sz="4" w:space="0"/>
              <w:bottom w:val="single" w:color="000000" w:sz="4" w:space="0"/>
              <w:right w:val="single" w:color="000000" w:sz="4" w:space="0"/>
            </w:tcBorders>
            <w:shd w:val="clear" w:color="auto" w:fill="auto"/>
            <w:vAlign w:val="center"/>
          </w:tcPr>
          <w:p w14:paraId="7474E47F">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股东</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5FA6">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微信公众号、股东会等</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AB81">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default" w:ascii="宋体" w:hAnsi="宋体" w:eastAsia="宋体" w:cs="宋体"/>
                <w:sz w:val="24"/>
                <w:szCs w:val="24"/>
                <w:highlight w:val="none"/>
                <w:lang w:val="en-US"/>
              </w:rPr>
            </w:pPr>
            <w:r>
              <w:rPr>
                <w:rFonts w:hint="eastAsia" w:ascii="宋体" w:hAnsi="宋体" w:eastAsia="宋体" w:cs="宋体"/>
                <w:sz w:val="24"/>
                <w:szCs w:val="24"/>
                <w:highlight w:val="none"/>
              </w:rPr>
              <w:t>企业使命、企业愿景、</w:t>
            </w:r>
            <w:r>
              <w:rPr>
                <w:rFonts w:hint="eastAsia" w:cs="宋体"/>
                <w:sz w:val="24"/>
                <w:szCs w:val="24"/>
                <w:highlight w:val="none"/>
                <w:lang w:val="en-US" w:eastAsia="zh-CN"/>
              </w:rPr>
              <w:t>核心价值观</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F10A">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投资交流活动、文化之旅</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6447E">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股东认可、投资交流频次</w:t>
            </w:r>
          </w:p>
        </w:tc>
      </w:tr>
      <w:tr w14:paraId="18F3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243"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6756BC7">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p>
        </w:tc>
        <w:tc>
          <w:tcPr>
            <w:tcW w:w="291" w:type="pct"/>
            <w:tcBorders>
              <w:top w:val="single" w:color="000000" w:sz="4" w:space="0"/>
              <w:left w:val="single" w:color="auto" w:sz="4" w:space="0"/>
              <w:bottom w:val="single" w:color="000000" w:sz="4" w:space="0"/>
              <w:right w:val="single" w:color="000000" w:sz="4" w:space="0"/>
            </w:tcBorders>
            <w:shd w:val="clear" w:color="auto" w:fill="auto"/>
            <w:vAlign w:val="center"/>
          </w:tcPr>
          <w:p w14:paraId="6E80CA17">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社会</w:t>
            </w:r>
          </w:p>
        </w:tc>
        <w:tc>
          <w:tcPr>
            <w:tcW w:w="10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D6B4">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文化交流、企业文化交流等</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2235B">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社会贡献、企业使命、企业愿景、党建文化</w:t>
            </w:r>
          </w:p>
        </w:tc>
        <w:tc>
          <w:tcPr>
            <w:tcW w:w="9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D39C">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文化之旅、党建文化访问、企业文化访问</w:t>
            </w:r>
          </w:p>
        </w:tc>
        <w:tc>
          <w:tcPr>
            <w:tcW w:w="1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DE35D">
            <w:pPr>
              <w:keepNext w:val="0"/>
              <w:keepLines w:val="0"/>
              <w:pageBreakBefore w:val="0"/>
              <w:widowControl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提升社会知名度、交流接待数量</w:t>
            </w:r>
          </w:p>
        </w:tc>
      </w:tr>
    </w:tbl>
    <w:p w14:paraId="5FB26B85">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将“企业文化培训”作为新员工入职学习内容之一，每年由高层领导亲自讲解和引导；公司通过宣传海报、微信公众号、企业文化手册、丰富多彩的企业文化活动等方式，将核心文化传播至各层次、各部门，营造浓郁的企业文化氛围。</w:t>
      </w:r>
    </w:p>
    <w:p w14:paraId="50127000">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b）与相关方进行沟通，激励员工以强化组织的方向和重点</w:t>
      </w:r>
    </w:p>
    <w:p w14:paraId="3D6A07DF">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1）加强与员工及其他相关方的沟通</w:t>
      </w:r>
    </w:p>
    <w:p w14:paraId="5DAC5C36">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公司通过多种方式向股东、员工、客户、供应商等利益相关方传播企业文化，激励企业全员为实现公司战略目标而努力，也促使相关方充分理解公司经营理念。</w:t>
      </w:r>
    </w:p>
    <w:p w14:paraId="3062C8F3">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r>
        <w:rPr>
          <w:rFonts w:hint="eastAsia" w:ascii="宋体" w:hAnsi="宋体" w:eastAsia="宋体" w:cs="宋体"/>
          <w:highlight w:val="none"/>
        </w:rPr>
        <w:t>图表</w:t>
      </w:r>
      <w:r>
        <w:rPr>
          <w:rFonts w:hint="eastAsia" w:ascii="宋体" w:hAnsi="宋体" w:eastAsia="宋体" w:cs="宋体"/>
          <w:highlight w:val="none"/>
          <w:lang w:val="en-US"/>
        </w:rPr>
        <w:t>2</w:t>
      </w:r>
      <w:r>
        <w:rPr>
          <w:rFonts w:hint="eastAsia" w:ascii="宋体" w:hAnsi="宋体" w:eastAsia="宋体" w:cs="宋体"/>
          <w:highlight w:val="none"/>
        </w:rPr>
        <w:t>.1-</w:t>
      </w:r>
      <w:r>
        <w:rPr>
          <w:rFonts w:hint="eastAsia" w:ascii="宋体" w:hAnsi="宋体" w:eastAsia="宋体" w:cs="宋体"/>
          <w:highlight w:val="none"/>
        </w:rPr>
        <w:fldChar w:fldCharType="begin"/>
      </w:r>
      <w:r>
        <w:rPr>
          <w:rFonts w:hint="eastAsia" w:ascii="宋体" w:hAnsi="宋体" w:eastAsia="宋体" w:cs="宋体"/>
          <w:highlight w:val="none"/>
        </w:rPr>
        <w:instrText xml:space="preserve">SEQ 图表4.1- \* ARABIC</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highlight w:val="none"/>
        </w:rPr>
        <w:t xml:space="preserve"> 公司与相关方双向沟通方式</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8651"/>
      </w:tblGrid>
      <w:tr w14:paraId="04A4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blHeader/>
          <w:jc w:val="center"/>
        </w:trPr>
        <w:tc>
          <w:tcPr>
            <w:tcW w:w="611" w:type="pct"/>
            <w:tcBorders>
              <w:bottom w:val="single" w:color="auto" w:sz="4" w:space="0"/>
            </w:tcBorders>
            <w:shd w:val="clear" w:color="auto" w:fill="548DD4" w:themeFill="text2" w:themeFillTint="99"/>
            <w:vAlign w:val="center"/>
          </w:tcPr>
          <w:p w14:paraId="0B4B9091">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对象</w:t>
            </w:r>
          </w:p>
        </w:tc>
        <w:tc>
          <w:tcPr>
            <w:tcW w:w="4388" w:type="pct"/>
            <w:tcBorders>
              <w:bottom w:val="single" w:color="auto" w:sz="4" w:space="0"/>
            </w:tcBorders>
            <w:shd w:val="clear" w:color="auto" w:fill="548DD4" w:themeFill="text2" w:themeFillTint="99"/>
            <w:vAlign w:val="center"/>
          </w:tcPr>
          <w:p w14:paraId="0790BC42">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b/>
                <w:szCs w:val="21"/>
                <w:highlight w:val="none"/>
              </w:rPr>
            </w:pPr>
            <w:r>
              <w:rPr>
                <w:rFonts w:hint="eastAsia" w:ascii="宋体" w:hAnsi="宋体" w:eastAsia="宋体" w:cs="宋体"/>
                <w:b/>
                <w:szCs w:val="21"/>
                <w:highlight w:val="none"/>
              </w:rPr>
              <w:t>沟通方式</w:t>
            </w:r>
          </w:p>
        </w:tc>
      </w:tr>
      <w:tr w14:paraId="633B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restart"/>
            <w:shd w:val="clear" w:color="auto" w:fill="auto"/>
            <w:vAlign w:val="center"/>
          </w:tcPr>
          <w:p w14:paraId="5753DA0A">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员工</w:t>
            </w:r>
          </w:p>
        </w:tc>
        <w:tc>
          <w:tcPr>
            <w:tcW w:w="4388" w:type="pct"/>
            <w:shd w:val="clear" w:color="auto" w:fill="auto"/>
            <w:vAlign w:val="center"/>
          </w:tcPr>
          <w:p w14:paraId="57219934">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公司网站、《员工手册》、企业宣传册、企业文化墙、公司展厅、宣传片、宣传窗等</w:t>
            </w:r>
          </w:p>
        </w:tc>
      </w:tr>
      <w:tr w14:paraId="2A73B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shd w:val="clear" w:color="auto" w:fill="auto"/>
          </w:tcPr>
          <w:p w14:paraId="22C7B660">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p>
        </w:tc>
        <w:tc>
          <w:tcPr>
            <w:tcW w:w="4388" w:type="pct"/>
            <w:shd w:val="clear" w:color="auto" w:fill="auto"/>
            <w:vAlign w:val="center"/>
          </w:tcPr>
          <w:p w14:paraId="4524D9A2">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电话、QQ、微信平台、电子邮件系统等</w:t>
            </w:r>
          </w:p>
        </w:tc>
      </w:tr>
      <w:tr w14:paraId="77339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shd w:val="clear" w:color="auto" w:fill="auto"/>
          </w:tcPr>
          <w:p w14:paraId="0A030AE4">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p>
        </w:tc>
        <w:tc>
          <w:tcPr>
            <w:tcW w:w="4388" w:type="pct"/>
            <w:shd w:val="clear" w:color="auto" w:fill="auto"/>
            <w:vAlign w:val="center"/>
          </w:tcPr>
          <w:p w14:paraId="61E4A60C">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新员工入职培训、企业文化培训、素质拓展训练、专业培训、技能培训等</w:t>
            </w:r>
          </w:p>
        </w:tc>
      </w:tr>
      <w:tr w14:paraId="4952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shd w:val="clear" w:color="auto" w:fill="auto"/>
          </w:tcPr>
          <w:p w14:paraId="7F299615">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p>
        </w:tc>
        <w:tc>
          <w:tcPr>
            <w:tcW w:w="4388" w:type="pct"/>
            <w:shd w:val="clear" w:color="auto" w:fill="auto"/>
            <w:vAlign w:val="center"/>
          </w:tcPr>
          <w:p w14:paraId="3C1F8E7A">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职工活动、联谊活动、文艺活动、旅游活动、公益活动等</w:t>
            </w:r>
          </w:p>
        </w:tc>
      </w:tr>
      <w:tr w14:paraId="177B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vMerge w:val="continue"/>
            <w:shd w:val="clear" w:color="auto" w:fill="auto"/>
          </w:tcPr>
          <w:p w14:paraId="16299260">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p>
        </w:tc>
        <w:tc>
          <w:tcPr>
            <w:tcW w:w="4388" w:type="pct"/>
            <w:shd w:val="clear" w:color="auto" w:fill="auto"/>
            <w:vAlign w:val="center"/>
          </w:tcPr>
          <w:p w14:paraId="6CC016A6">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周例会、生产例会、营销例会、月度总结大会、年度总结大会等</w:t>
            </w:r>
          </w:p>
        </w:tc>
      </w:tr>
      <w:tr w14:paraId="0DBA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shd w:val="clear" w:color="auto" w:fill="auto"/>
            <w:vAlign w:val="center"/>
          </w:tcPr>
          <w:p w14:paraId="160DB363">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顾客</w:t>
            </w:r>
          </w:p>
        </w:tc>
        <w:tc>
          <w:tcPr>
            <w:tcW w:w="4388" w:type="pct"/>
            <w:shd w:val="clear" w:color="auto" w:fill="auto"/>
            <w:vAlign w:val="center"/>
          </w:tcPr>
          <w:p w14:paraId="3058BDC4">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网站、展会沟通、企业宣传册、广告宣传、传真、电子邮件、新闻媒体、行业杂志、客户服务热线、、现场走访等</w:t>
            </w:r>
          </w:p>
        </w:tc>
      </w:tr>
      <w:tr w14:paraId="465C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shd w:val="clear" w:color="auto" w:fill="auto"/>
            <w:vAlign w:val="center"/>
          </w:tcPr>
          <w:p w14:paraId="35E2350C">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股东</w:t>
            </w:r>
          </w:p>
        </w:tc>
        <w:tc>
          <w:tcPr>
            <w:tcW w:w="4388" w:type="pct"/>
            <w:shd w:val="clear" w:color="auto" w:fill="auto"/>
            <w:vAlign w:val="center"/>
          </w:tcPr>
          <w:p w14:paraId="6B1DE6FB">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股东大会、网站、报刊、各种财务报表、审计报告、新闻媒体宣传、个别沟通</w:t>
            </w:r>
          </w:p>
        </w:tc>
      </w:tr>
      <w:tr w14:paraId="464A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shd w:val="clear" w:color="auto" w:fill="auto"/>
            <w:vAlign w:val="center"/>
          </w:tcPr>
          <w:p w14:paraId="31226D90">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p>
        </w:tc>
        <w:tc>
          <w:tcPr>
            <w:tcW w:w="4388" w:type="pct"/>
            <w:shd w:val="clear" w:color="auto" w:fill="auto"/>
            <w:vAlign w:val="center"/>
          </w:tcPr>
          <w:p w14:paraId="33CD68F2">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供应商实地考察、供应商评选、供应商会议、电话沟通、电子邮件等</w:t>
            </w:r>
          </w:p>
        </w:tc>
      </w:tr>
      <w:tr w14:paraId="5BD9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shd w:val="clear" w:color="auto" w:fill="auto"/>
            <w:vAlign w:val="center"/>
          </w:tcPr>
          <w:p w14:paraId="66194E7D">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合作伙伴 </w:t>
            </w:r>
          </w:p>
        </w:tc>
        <w:tc>
          <w:tcPr>
            <w:tcW w:w="4388" w:type="pct"/>
            <w:shd w:val="clear" w:color="auto" w:fill="auto"/>
            <w:vAlign w:val="center"/>
          </w:tcPr>
          <w:p w14:paraId="22466EF5">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网站、新闻媒体、行业协会活动、项目开发等</w:t>
            </w:r>
          </w:p>
        </w:tc>
      </w:tr>
      <w:tr w14:paraId="27B3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pct"/>
            <w:shd w:val="clear" w:color="auto" w:fill="auto"/>
            <w:vAlign w:val="center"/>
          </w:tcPr>
          <w:p w14:paraId="189BD141">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w:t>
            </w:r>
          </w:p>
          <w:p w14:paraId="6377EEF5">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公众</w:t>
            </w:r>
          </w:p>
        </w:tc>
        <w:tc>
          <w:tcPr>
            <w:tcW w:w="4388" w:type="pct"/>
            <w:shd w:val="clear" w:color="auto" w:fill="auto"/>
            <w:vAlign w:val="center"/>
          </w:tcPr>
          <w:p w14:paraId="24734F81">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工作汇报、项目评审、参观指导、接待相关人员来访、参加公益活动、慈善捐赠等、</w:t>
            </w:r>
          </w:p>
          <w:p w14:paraId="2CA0941C">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网站、企业刊物、宣传册、宣传片等</w:t>
            </w:r>
          </w:p>
        </w:tc>
      </w:tr>
    </w:tbl>
    <w:p w14:paraId="6972AB74">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2）激励员工以强化组织发展</w:t>
      </w:r>
    </w:p>
    <w:p w14:paraId="0A4D7E09">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为了激励员工的正确行为，公司从文化、制度和活动多方面进行了激励，鼓励员工的行为符合公司发展方向。</w:t>
      </w:r>
    </w:p>
    <w:p w14:paraId="4AC89142">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文化激励：</w:t>
      </w:r>
      <w:r>
        <w:rPr>
          <w:rFonts w:hint="eastAsia" w:cs="宋体"/>
          <w:highlight w:val="none"/>
          <w:lang w:eastAsia="zh-CN"/>
        </w:rPr>
        <w:t>惠同</w:t>
      </w:r>
      <w:r>
        <w:rPr>
          <w:rFonts w:hint="eastAsia" w:ascii="宋体" w:hAnsi="宋体" w:eastAsia="宋体" w:cs="宋体"/>
          <w:highlight w:val="none"/>
        </w:rPr>
        <w:t>人以“快乐工作、和谐团队”为宗旨，坚持“以良好的信誉，上层的质量，薄利的价格，有效的持续改进”，努力营造以人为本、和谐共事、快乐工作、激情创业、健康生活的氛围，真正形成团结和谐谋发展、众志成城创大业的合力，实现企业和员工的文明、和谐、科学、有效的发展。正确、扎实、快速、有效是</w:t>
      </w:r>
      <w:r>
        <w:rPr>
          <w:rFonts w:hint="eastAsia" w:cs="宋体"/>
          <w:highlight w:val="none"/>
          <w:lang w:eastAsia="zh-CN"/>
        </w:rPr>
        <w:t>惠同</w:t>
      </w:r>
      <w:r>
        <w:rPr>
          <w:rFonts w:hint="eastAsia" w:ascii="宋体" w:hAnsi="宋体" w:eastAsia="宋体" w:cs="宋体"/>
          <w:highlight w:val="none"/>
        </w:rPr>
        <w:t>的工作风格，在保证事情做对的前提下，实现行事高品质、高效率、低成本，那最后的高效益就会成为必然。</w:t>
      </w:r>
    </w:p>
    <w:p w14:paraId="0E6551AF">
      <w:pPr>
        <w:keepNext w:val="0"/>
        <w:keepLines w:val="0"/>
        <w:pageBreakBefore w:val="0"/>
        <w:widowControl/>
        <w:suppressLineNumbers w:val="0"/>
        <w:kinsoku/>
        <w:wordWrap/>
        <w:overflowPunct/>
        <w:topLinePunct w:val="0"/>
        <w:autoSpaceDE w:val="0"/>
        <w:autoSpaceDN w:val="0"/>
        <w:bidi w:val="0"/>
        <w:adjustRightInd/>
        <w:spacing w:line="360" w:lineRule="auto"/>
        <w:ind w:left="0" w:right="0" w:firstLine="0" w:firstLineChars="0"/>
        <w:jc w:val="left"/>
        <w:textAlignment w:val="auto"/>
        <w:rPr>
          <w:rFonts w:hint="eastAsia" w:ascii="宋体" w:hAnsi="宋体" w:eastAsia="宋体" w:cs="宋体"/>
          <w:sz w:val="24"/>
          <w:szCs w:val="24"/>
          <w:highlight w:val="none"/>
          <w:lang w:val="zh-CN" w:eastAsia="zh-CN" w:bidi="zh-CN"/>
        </w:rPr>
      </w:pPr>
      <w:r>
        <w:rPr>
          <w:rFonts w:hint="eastAsia" w:ascii="宋体" w:hAnsi="宋体" w:eastAsia="宋体" w:cs="宋体"/>
          <w:sz w:val="24"/>
          <w:szCs w:val="24"/>
          <w:highlight w:val="none"/>
          <w:lang w:val="zh-CN" w:eastAsia="zh-CN" w:bidi="zh-CN"/>
        </w:rPr>
        <w:t>制度激励：公司制定</w:t>
      </w:r>
      <w:r>
        <w:rPr>
          <w:rFonts w:hint="eastAsia" w:ascii="宋体" w:hAnsi="宋体" w:eastAsia="宋体" w:cs="宋体"/>
          <w:sz w:val="24"/>
          <w:szCs w:val="24"/>
          <w:highlight w:val="none"/>
          <w:lang w:val="en-US" w:eastAsia="zh-CN" w:bidi="zh-CN"/>
        </w:rPr>
        <w:t>了《员工手册》</w:t>
      </w:r>
      <w:r>
        <w:rPr>
          <w:rFonts w:hint="eastAsia" w:ascii="宋体" w:hAnsi="宋体" w:eastAsia="宋体" w:cs="宋体"/>
          <w:sz w:val="24"/>
          <w:szCs w:val="24"/>
          <w:highlight w:val="none"/>
          <w:lang w:val="zh-CN" w:eastAsia="zh-CN" w:bidi="zh-CN"/>
        </w:rPr>
        <w:t>，规范员工行为，并通过制定各种奖励制度，鼓励员工表现公司期待的行为。如供应商管理制度、廉政文化建设制度等。</w:t>
      </w:r>
    </w:p>
    <w:p w14:paraId="52E983E4">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物质激励：为鼓励全体员工实现卓越绩效的活动，强化公司未来的发展方向和发展重点，公司设立了优秀员工、优秀团队、创新奖等荣誉，为员工的优秀表现给予精神奖励及物质奖励。在供应商与顾客方面，公司定期评级，根据评级结果相应提供增值性服务，以增进双方友谊，朝着对双方都有利的方向迈进。</w:t>
      </w:r>
    </w:p>
    <w:p w14:paraId="01E68DD4">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c）营造良好的内部经营环境</w:t>
      </w:r>
    </w:p>
    <w:p w14:paraId="3B73B5C3">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1）创造诚信守法的环境</w:t>
      </w:r>
    </w:p>
    <w:p w14:paraId="5935E2A2">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高层领导致力于营造守法重德的环境，坚持诚信经营、遵纪守法、依法纳税。公司每年组织各部门开展法律法规监督与检查，严格遵守国家的法律法规，建立商业行为准则和员工商业行为规范。公司一直践行廉政文化，逐步完善制度，规范公司及员工行为。此外，公司定期接受国外多家知名品牌客户验厂，不断完善诚信守法体系。</w:t>
      </w:r>
    </w:p>
    <w:p w14:paraId="09A89970">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公司通过各种方式对合作方实施影响，例如，公司以合同的形式规范供应商行为，通过对供应商的审计评价，认定其供应资格。</w:t>
      </w:r>
    </w:p>
    <w:p w14:paraId="4B00575B">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坚信诚为做人之源，信为立业之本是企业做大做强的根本，求真务实的思想作风是企业对社会、客户、员工等责任承诺的保障基础。在公司内部企业、部门、员工之间都要讲诚信、守承诺，相互信赖、相互支持；在外部则是做事业要务实，注重长期经营，坚持合作共赢，承担社会责任，关注节能环保问题。</w:t>
      </w:r>
    </w:p>
    <w:p w14:paraId="473AC79C">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2）创建有利于改进和创新的环境</w:t>
      </w:r>
    </w:p>
    <w:p w14:paraId="12CE003F">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cs="宋体"/>
          <w:highlight w:val="none"/>
          <w:lang w:eastAsia="zh-CN"/>
        </w:rPr>
        <w:t>惠同</w:t>
      </w:r>
      <w:r>
        <w:rPr>
          <w:rFonts w:hint="eastAsia" w:ascii="宋体" w:hAnsi="宋体" w:eastAsia="宋体" w:cs="宋体"/>
          <w:highlight w:val="none"/>
        </w:rPr>
        <w:t>的快速发展离不开最高管理者的不断创新的思维和实践，正是由于发展动力来自于源源不断的创新，使得创新意识已植根于企业文化，并不断促进公司的发展。</w:t>
      </w:r>
    </w:p>
    <w:p w14:paraId="19DC7A4A">
      <w:pPr>
        <w:pStyle w:val="5"/>
        <w:keepNext w:val="0"/>
        <w:keepLines w:val="0"/>
        <w:pageBreakBefore w:val="0"/>
        <w:numPr>
          <w:ilvl w:val="0"/>
          <w:numId w:val="3"/>
        </w:numPr>
        <w:kinsoku/>
        <w:wordWrap/>
        <w:overflowPunct/>
        <w:topLinePunct w:val="0"/>
        <w:autoSpaceDE w:val="0"/>
        <w:autoSpaceDN w:val="0"/>
        <w:bidi w:val="0"/>
        <w:adjustRightInd/>
        <w:spacing w:line="360" w:lineRule="auto"/>
        <w:ind w:left="420" w:leftChars="0" w:right="0" w:hanging="420" w:firstLineChars="0"/>
        <w:jc w:val="both"/>
        <w:textAlignment w:val="auto"/>
        <w:rPr>
          <w:rFonts w:hint="eastAsia" w:ascii="宋体" w:hAnsi="宋体" w:eastAsia="宋体" w:cs="宋体"/>
          <w:highlight w:val="none"/>
        </w:rPr>
      </w:pPr>
      <w:r>
        <w:rPr>
          <w:rFonts w:hint="eastAsia" w:ascii="宋体" w:hAnsi="宋体" w:eastAsia="宋体" w:cs="宋体"/>
          <w:highlight w:val="none"/>
        </w:rPr>
        <w:t>科技创新环境的营造</w:t>
      </w:r>
    </w:p>
    <w:p w14:paraId="5B4EF4D3">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在多年的经营过程中不断契合消费者需求，追求产品安全智能、时尚新颖等方面的创新，追求产品高标准高质量。公司新产品开发以市场需求为坐标，了解市场的需求和用户的心理，以此研发新的产品，开拓新的消费需求领域。</w:t>
      </w:r>
    </w:p>
    <w:p w14:paraId="3E49AFA0">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建立了完善的财务分析制度，充分收集有关财务、销售、市场、技术、政策、法律等方面的有关信息资料，根据不同情况分别采用比较分析、因素分析、平衡分析等方法。公司每月召开资金分析会议，分析预算执行情况、财务收入、费用、利润的预算完成情况及资金日常使用的执行情况。跟踪检查月度资金计划执行情况，有效控制资金使用，使公司实时掌握资金情况并根据各种需求做出调整。</w:t>
      </w:r>
    </w:p>
    <w:p w14:paraId="073A0970">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在人员激励上，为鼓励研发人员的创造性，企业制订相应的激励措施，对围绕企业生产能力有关产品，新开发研究成功的全新产品，直接给予资金奖励。同时，将产品的新创意、新技艺等方面列入研发中心人员月绩效考核的指标内容，极大地调动了研发人员致力新产品开发和研制的工作热情。</w:t>
      </w:r>
    </w:p>
    <w:p w14:paraId="48A22A64">
      <w:pPr>
        <w:pStyle w:val="5"/>
        <w:keepNext w:val="0"/>
        <w:keepLines w:val="0"/>
        <w:pageBreakBefore w:val="0"/>
        <w:numPr>
          <w:ilvl w:val="0"/>
          <w:numId w:val="4"/>
        </w:numPr>
        <w:kinsoku/>
        <w:wordWrap/>
        <w:overflowPunct/>
        <w:topLinePunct w:val="0"/>
        <w:autoSpaceDE w:val="0"/>
        <w:autoSpaceDN w:val="0"/>
        <w:bidi w:val="0"/>
        <w:adjustRightInd/>
        <w:spacing w:line="360" w:lineRule="auto"/>
        <w:ind w:left="420" w:leftChars="0" w:right="0" w:hanging="420" w:firstLineChars="0"/>
        <w:jc w:val="both"/>
        <w:textAlignment w:val="auto"/>
        <w:rPr>
          <w:rFonts w:hint="eastAsia" w:ascii="宋体" w:hAnsi="宋体" w:eastAsia="宋体" w:cs="宋体"/>
          <w:highlight w:val="none"/>
        </w:rPr>
      </w:pPr>
      <w:r>
        <w:rPr>
          <w:rFonts w:hint="eastAsia" w:ascii="宋体" w:hAnsi="宋体" w:eastAsia="宋体" w:cs="宋体"/>
          <w:highlight w:val="none"/>
        </w:rPr>
        <w:t>管理创新环境的营造</w:t>
      </w:r>
    </w:p>
    <w:p w14:paraId="35F64031">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管理创新：此外，为推进企业生产经营、技术创新、制度建设、内部管理等，公司制定了员工合理化建议管理制度，规定合理化建议范围及奖励方式等。该管理办法为员工合理化建议提供了良好的实施环境，极大地鼓舞了员工争做创新标杆的士气。</w:t>
      </w:r>
    </w:p>
    <w:p w14:paraId="34657115">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企业内部有利于改进和创新环境的建立，使企业产品质量、服务以及内部管理有了新的提高，品牌效益初步显现。</w:t>
      </w:r>
    </w:p>
    <w:p w14:paraId="2CCA9E8B">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3）营造快速反应的环境</w:t>
      </w:r>
    </w:p>
    <w:p w14:paraId="62784B69">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cs="宋体"/>
          <w:highlight w:val="none"/>
          <w:lang w:eastAsia="zh-CN"/>
        </w:rPr>
        <w:t>惠同</w:t>
      </w:r>
      <w:r>
        <w:rPr>
          <w:rFonts w:hint="eastAsia" w:ascii="宋体" w:hAnsi="宋体" w:eastAsia="宋体" w:cs="宋体"/>
          <w:highlight w:val="none"/>
        </w:rPr>
        <w:t>秉持“反应迅速、计划周密、执行有力”的行事理念高效处理各项事务。高层领导以顾客和市场、员工为中心，推行“快速反应”的管理原则，建立快速反应机制。</w:t>
      </w:r>
    </w:p>
    <w:p w14:paraId="05973C92">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对于内部员工，建立覆盖各种紧急情况的应急预案，并开展应急演练，培育员工的危机处理意识和能力，实现对意外情况的快速处理，例如顾客投诉应急处理预案、火灾、停电等紧急处理预案等。</w:t>
      </w:r>
    </w:p>
    <w:p w14:paraId="6D9D1681">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在组织结构方面，建立扁平化的组织结构，通过缩短指令向下传达或信息向上传递的层级，提升组织的响应速度，通过构建信息化办公系统，为实现将财务、销售、采购、物流、生产等核心业务实现一体化管理，持续高效运营，识别和开发并及时、准确的获取相关信息和知识资源，通过</w:t>
      </w:r>
      <w:r>
        <w:rPr>
          <w:rFonts w:hint="eastAsia" w:ascii="宋体" w:hAnsi="宋体" w:eastAsia="宋体" w:cs="宋体"/>
          <w:szCs w:val="22"/>
          <w:highlight w:val="none"/>
        </w:rPr>
        <w:t>QC小组、项目攻关</w:t>
      </w:r>
      <w:r>
        <w:rPr>
          <w:rFonts w:hint="eastAsia" w:ascii="宋体" w:hAnsi="宋体" w:eastAsia="宋体" w:cs="宋体"/>
          <w:highlight w:val="none"/>
        </w:rPr>
        <w:t>等方式，实现信息资源有效传递和应用，科学、高效的资源管理成为公司持续、稳定发展，以及提升核心竞争的有力保障。</w:t>
      </w:r>
    </w:p>
    <w:p w14:paraId="6F43477B">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在工作方面，通过优化业务流程，引进先进的软硬件和技术人才，提升新品的开发速度。目前，公司新产品开发速度在业内处于领先水平。针对外部事件，及时进行危机处理，召开营销会议等活动进行应急战略、战术调整，高效对各环境变化做出反应。</w:t>
      </w:r>
    </w:p>
    <w:p w14:paraId="132A9CDA">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4）营造全员学习的环境</w:t>
      </w:r>
    </w:p>
    <w:p w14:paraId="0C01049C">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领导非常重视员工的培训和学习，积极建设学习型组织，构建了“多层级培训发展体系”，针对高层、中层、基层、专业人员、新员工等开展丰富多样的培训活动。并采用外派与内训、线上线下相结合方式给予员工最全面、便捷的学习途径。为了创造一个更好的环境，公司配备了先进的多媒体教学设施，宽敞舒适的学习环境，完善的培训教学的软件资源。</w:t>
      </w:r>
    </w:p>
    <w:p w14:paraId="538AB524">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为保证准确的识别培训需求、制定并实施培训计划，公司每年发放《公司员工培训需求调查表》，以此收集各部门员工的培训需求，并以此制定培训计划。依据总体培训规划，公司明确了分级培训体系，分别针对高管人员、中层人员和基层人员确定相应的培训内容及培训方式，使得培训项目的实施更加符合公司整体战略发展规划。</w:t>
      </w:r>
    </w:p>
    <w:p w14:paraId="2DE25FD8">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p>
    <w:p w14:paraId="2F9772AF">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p>
    <w:p w14:paraId="6D2DCD1E">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r>
        <w:rPr>
          <w:rFonts w:hint="eastAsia" w:ascii="宋体" w:hAnsi="宋体" w:eastAsia="宋体" w:cs="宋体"/>
          <w:highlight w:val="none"/>
        </w:rPr>
        <w:t>图表</w:t>
      </w:r>
      <w:r>
        <w:rPr>
          <w:rFonts w:hint="eastAsia" w:ascii="宋体" w:hAnsi="宋体" w:eastAsia="宋体" w:cs="宋体"/>
          <w:highlight w:val="none"/>
          <w:lang w:val="en-US"/>
        </w:rPr>
        <w:t>2</w:t>
      </w:r>
      <w:r>
        <w:rPr>
          <w:rFonts w:hint="eastAsia" w:ascii="宋体" w:hAnsi="宋体" w:eastAsia="宋体" w:cs="宋体"/>
          <w:highlight w:val="none"/>
        </w:rPr>
        <w:t>.1-</w:t>
      </w:r>
      <w:r>
        <w:rPr>
          <w:rFonts w:hint="eastAsia" w:ascii="宋体" w:hAnsi="宋体" w:eastAsia="宋体" w:cs="宋体"/>
          <w:highlight w:val="none"/>
        </w:rPr>
        <w:fldChar w:fldCharType="begin"/>
      </w:r>
      <w:r>
        <w:rPr>
          <w:rFonts w:hint="eastAsia" w:ascii="宋体" w:hAnsi="宋体" w:eastAsia="宋体" w:cs="宋体"/>
          <w:highlight w:val="none"/>
        </w:rPr>
        <w:instrText xml:space="preserve">SEQ 图表4.1- \* ARABIC</w:instrText>
      </w:r>
      <w:r>
        <w:rPr>
          <w:rFonts w:hint="eastAsia" w:ascii="宋体" w:hAnsi="宋体" w:eastAsia="宋体" w:cs="宋体"/>
          <w:highlight w:val="none"/>
        </w:rPr>
        <w:fldChar w:fldCharType="separate"/>
      </w:r>
      <w:r>
        <w:rPr>
          <w:rFonts w:hint="eastAsia" w:ascii="宋体" w:hAnsi="宋体" w:eastAsia="宋体" w:cs="宋体"/>
          <w:highlight w:val="none"/>
        </w:rPr>
        <w:t>5</w:t>
      </w:r>
      <w:r>
        <w:rPr>
          <w:rFonts w:hint="eastAsia" w:ascii="宋体" w:hAnsi="宋体" w:eastAsia="宋体" w:cs="宋体"/>
          <w:highlight w:val="none"/>
        </w:rPr>
        <w:fldChar w:fldCharType="end"/>
      </w:r>
      <w:r>
        <w:rPr>
          <w:rFonts w:hint="eastAsia" w:ascii="宋体" w:hAnsi="宋体" w:eastAsia="宋体" w:cs="宋体"/>
          <w:highlight w:val="none"/>
        </w:rPr>
        <w:t xml:space="preserve"> 培训层级体系表</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5226"/>
        <w:gridCol w:w="3230"/>
      </w:tblGrid>
      <w:tr w14:paraId="2B7E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jc w:val="center"/>
        </w:trPr>
        <w:tc>
          <w:tcPr>
            <w:tcW w:w="710" w:type="pct"/>
            <w:tcBorders>
              <w:bottom w:val="single" w:color="auto" w:sz="4" w:space="0"/>
            </w:tcBorders>
            <w:shd w:val="clear" w:color="auto" w:fill="548DD4" w:themeFill="text2" w:themeFillTint="99"/>
            <w:vAlign w:val="center"/>
          </w:tcPr>
          <w:p w14:paraId="18487F19">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b/>
                <w:szCs w:val="18"/>
                <w:highlight w:val="none"/>
              </w:rPr>
            </w:pPr>
            <w:r>
              <w:rPr>
                <w:rFonts w:hint="eastAsia" w:ascii="宋体" w:hAnsi="宋体" w:eastAsia="宋体" w:cs="宋体"/>
                <w:b/>
                <w:szCs w:val="18"/>
                <w:highlight w:val="none"/>
              </w:rPr>
              <w:t>培训级别</w:t>
            </w:r>
          </w:p>
        </w:tc>
        <w:tc>
          <w:tcPr>
            <w:tcW w:w="2650" w:type="pct"/>
            <w:tcBorders>
              <w:bottom w:val="single" w:color="auto" w:sz="4" w:space="0"/>
            </w:tcBorders>
            <w:shd w:val="clear" w:color="auto" w:fill="548DD4" w:themeFill="text2" w:themeFillTint="99"/>
            <w:vAlign w:val="center"/>
          </w:tcPr>
          <w:p w14:paraId="3A58EA3A">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b/>
                <w:szCs w:val="18"/>
                <w:highlight w:val="none"/>
              </w:rPr>
            </w:pPr>
            <w:r>
              <w:rPr>
                <w:rFonts w:hint="eastAsia" w:ascii="宋体" w:hAnsi="宋体" w:eastAsia="宋体" w:cs="宋体"/>
                <w:b/>
                <w:szCs w:val="18"/>
                <w:highlight w:val="none"/>
              </w:rPr>
              <w:t>主要培训内容</w:t>
            </w:r>
          </w:p>
        </w:tc>
        <w:tc>
          <w:tcPr>
            <w:tcW w:w="1638" w:type="pct"/>
            <w:tcBorders>
              <w:bottom w:val="single" w:color="auto" w:sz="4" w:space="0"/>
            </w:tcBorders>
            <w:shd w:val="clear" w:color="auto" w:fill="548DD4" w:themeFill="text2" w:themeFillTint="99"/>
            <w:vAlign w:val="center"/>
          </w:tcPr>
          <w:p w14:paraId="3F75AC74">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b/>
                <w:szCs w:val="18"/>
                <w:highlight w:val="none"/>
              </w:rPr>
            </w:pPr>
            <w:r>
              <w:rPr>
                <w:rFonts w:hint="eastAsia" w:ascii="宋体" w:hAnsi="宋体" w:eastAsia="宋体" w:cs="宋体"/>
                <w:b/>
                <w:szCs w:val="18"/>
                <w:highlight w:val="none"/>
              </w:rPr>
              <w:t>培训方式</w:t>
            </w:r>
          </w:p>
        </w:tc>
      </w:tr>
      <w:tr w14:paraId="0EF1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710" w:type="pct"/>
            <w:shd w:val="clear" w:color="auto" w:fill="auto"/>
            <w:vAlign w:val="center"/>
          </w:tcPr>
          <w:p w14:paraId="50960FA1">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高管人员</w:t>
            </w:r>
          </w:p>
        </w:tc>
        <w:tc>
          <w:tcPr>
            <w:tcW w:w="2650" w:type="pct"/>
            <w:shd w:val="clear" w:color="auto" w:fill="auto"/>
            <w:vAlign w:val="center"/>
          </w:tcPr>
          <w:p w14:paraId="483A2070">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侧重于观念、理念方面，此外还有市场经济所要求的系统管理理论和技能，如管理学、组织行为学、市场营销、企业经营战略、企业经营过程控制、领导科学与艺术等。</w:t>
            </w:r>
          </w:p>
        </w:tc>
        <w:tc>
          <w:tcPr>
            <w:tcW w:w="1638" w:type="pct"/>
            <w:shd w:val="clear" w:color="auto" w:fill="auto"/>
            <w:vAlign w:val="center"/>
          </w:tcPr>
          <w:p w14:paraId="64BD31DD">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以外派培训为主。诸如，有计划地安排高层管理者参加MBA学习、总裁高级研修班、高级论坛、赴外地考察等等。</w:t>
            </w:r>
          </w:p>
        </w:tc>
      </w:tr>
      <w:tr w14:paraId="3DDAC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10" w:type="pct"/>
            <w:shd w:val="clear" w:color="auto" w:fill="auto"/>
            <w:vAlign w:val="center"/>
          </w:tcPr>
          <w:p w14:paraId="280429F2">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中层人员</w:t>
            </w:r>
          </w:p>
        </w:tc>
        <w:tc>
          <w:tcPr>
            <w:tcW w:w="2650" w:type="pct"/>
            <w:shd w:val="clear" w:color="auto" w:fill="auto"/>
            <w:vAlign w:val="center"/>
          </w:tcPr>
          <w:p w14:paraId="66C3D267">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管理基本知识与技能：管理学、组织行为学、人力资源开发与管理、市场学、领导科学与艺术等课程。</w:t>
            </w:r>
          </w:p>
          <w:p w14:paraId="0AD5ACE1">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业务知识与技能：负责的业务领域如技术、销售等领域的知识与技能。</w:t>
            </w:r>
          </w:p>
          <w:p w14:paraId="432DCEC6">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工作改进：工作分配、工作方法的改进、工作流程的改进。</w:t>
            </w:r>
          </w:p>
        </w:tc>
        <w:tc>
          <w:tcPr>
            <w:tcW w:w="1638" w:type="pct"/>
            <w:shd w:val="clear" w:color="auto" w:fill="auto"/>
            <w:vAlign w:val="center"/>
          </w:tcPr>
          <w:p w14:paraId="6F7E7979">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以公司内训为主，外训为辅。</w:t>
            </w:r>
          </w:p>
        </w:tc>
      </w:tr>
      <w:tr w14:paraId="5D2A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10" w:type="pct"/>
            <w:shd w:val="clear" w:color="auto" w:fill="auto"/>
            <w:vAlign w:val="center"/>
          </w:tcPr>
          <w:p w14:paraId="486C364E">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基层人员</w:t>
            </w:r>
          </w:p>
        </w:tc>
        <w:tc>
          <w:tcPr>
            <w:tcW w:w="2650" w:type="pct"/>
            <w:shd w:val="clear" w:color="auto" w:fill="auto"/>
            <w:vAlign w:val="center"/>
          </w:tcPr>
          <w:p w14:paraId="44AF7C72">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针对在岗员工岗位职责、专业技能、操作规程、业务流程等进行反复强化培训，以使员工在充分掌握理论的基础上，能自由地应用、发挥、提高。</w:t>
            </w:r>
          </w:p>
        </w:tc>
        <w:tc>
          <w:tcPr>
            <w:tcW w:w="1638" w:type="pct"/>
            <w:shd w:val="clear" w:color="auto" w:fill="auto"/>
            <w:vAlign w:val="center"/>
          </w:tcPr>
          <w:p w14:paraId="4A5FAB08">
            <w:pPr>
              <w:keepNext w:val="0"/>
              <w:keepLines w:val="0"/>
              <w:pageBreakBefore w:val="0"/>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参考中层管理人员。</w:t>
            </w:r>
          </w:p>
        </w:tc>
      </w:tr>
    </w:tbl>
    <w:p w14:paraId="3D0F3695">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此外，公司还注重员工自我学习氛围的构建，强调员工在工作之余不断自我学习的重要性，以此培育“与时俱进”的学习文化。</w:t>
      </w:r>
    </w:p>
    <w:p w14:paraId="1D5643DD">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d）履行确保组织所提供产品和服务质量安全的责任</w:t>
      </w:r>
    </w:p>
    <w:p w14:paraId="700A95A8">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在</w:t>
      </w:r>
      <w:r>
        <w:rPr>
          <w:rFonts w:hint="eastAsia" w:cs="宋体"/>
          <w:highlight w:val="none"/>
          <w:lang w:val="en-US" w:eastAsia="zh-CN"/>
        </w:rPr>
        <w:t>纸制品制造行业</w:t>
      </w:r>
      <w:r>
        <w:rPr>
          <w:rFonts w:hint="eastAsia" w:ascii="宋体" w:hAnsi="宋体" w:eastAsia="宋体" w:cs="宋体"/>
          <w:highlight w:val="none"/>
        </w:rPr>
        <w:t>，产品品质、技术创新有着同等重要的位置，追求卓越的产品品质和领先的研发技术是一条漫长的道路。高层领导始终坚持完善服务体系，努力提高产品品质，以市场规律为依据立足市场，在质和量的矛盾面前，确保产品质量再扩大产量、规模，以品质取胜。</w:t>
      </w:r>
    </w:p>
    <w:p w14:paraId="0C3A780F">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为履行确保组织所提供产品和服务的质量安全的职责，引导组织承担质量安全主体责任，公司从价值链角度对包括设计开发、采购、生产、质量管理、销售等涉及产品和服务质量安全的过程进行了梳理、识别和分析，并根据创新与效率原则对过程进行设计，充分运用绩效系统对过程的实施进行监控，关注过程输入与输出，持续改进，形成有效的PDCA循环。为了保证所设计的流程能够有效的执行，公司针</w:t>
      </w:r>
      <w:r>
        <w:rPr>
          <w:rFonts w:hint="eastAsia" w:cs="宋体"/>
          <w:highlight w:val="none"/>
          <w:lang w:val="en-US" w:eastAsia="zh-CN"/>
        </w:rPr>
        <w:t xml:space="preserve">  </w:t>
      </w:r>
      <w:r>
        <w:rPr>
          <w:rFonts w:hint="eastAsia" w:ascii="宋体" w:hAnsi="宋体" w:eastAsia="宋体" w:cs="宋体"/>
          <w:highlight w:val="none"/>
        </w:rPr>
        <w:t>对每一过程分别制定操作说明书，并定期进行考核与监控。</w:t>
      </w:r>
    </w:p>
    <w:p w14:paraId="09DEC12A">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内部导入并运行ISO9001：2015质量管理体系，以质取胜，以创新拓市场，立志成为行业之标杆。在履行确保组织所提供产品和服务质量安全的责任方面，公司在原料采购上对各原材料实施订单协议收购，强化对采购原材料的检验及质量全过程控制。</w:t>
      </w:r>
    </w:p>
    <w:p w14:paraId="3CCF2C07">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此外，公司完善的质量控制管理体系有效保证了产品质量的稳定，已制定了多项具体的质量控制措施，涵盖了从产品设计、原材料采购、产品制造、产品检验、性能测试、包装储运到客户服务等全过程等各个环节，对各部门的质量控制工作进行有效的指导和监督；同时，公司以满足客户要求作为标准，由各专门部门负责，认真抓好产品质量的持续改进工作。</w:t>
      </w:r>
    </w:p>
    <w:p w14:paraId="26560181">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e）推进品牌建设，提高产品质量和服务水平</w:t>
      </w:r>
    </w:p>
    <w:p w14:paraId="5EF11379">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为推进品牌建设，公司依据发展战略目标，制定了相应的品牌发展规划，通过积极参与行业协会活动、主导行业标准制定、加大技术创新投入、完善渠道建设及售后服务等方式不断提高产品质量和服务水平。以品牌为基础，推进文化</w:t>
      </w:r>
      <w:r>
        <w:rPr>
          <w:rFonts w:hint="eastAsia" w:ascii="宋体" w:hAnsi="宋体" w:eastAsia="宋体" w:cs="宋体"/>
          <w:highlight w:val="none"/>
          <w:lang w:val="en-US"/>
        </w:rPr>
        <w:t>建设</w:t>
      </w:r>
    </w:p>
    <w:p w14:paraId="2B391457">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公司成立之初便创建了自己的品牌</w:t>
      </w:r>
      <w:r>
        <w:rPr>
          <w:rFonts w:hint="eastAsia" w:ascii="宋体" w:hAnsi="宋体" w:eastAsia="宋体" w:cs="宋体"/>
          <w:sz w:val="24"/>
          <w:szCs w:val="24"/>
          <w:highlight w:val="none"/>
          <w:lang w:val="en-US" w:eastAsia="zh-CN" w:bidi="zh-CN"/>
        </w:rPr>
        <w:t>“</w:t>
      </w:r>
      <w:r>
        <w:rPr>
          <w:rFonts w:hint="eastAsia" w:cs="宋体"/>
          <w:sz w:val="24"/>
          <w:szCs w:val="24"/>
          <w:highlight w:val="none"/>
          <w:lang w:val="en-US" w:eastAsia="zh-CN" w:bidi="zh-CN"/>
        </w:rPr>
        <w:t>惠同</w:t>
      </w:r>
      <w:r>
        <w:rPr>
          <w:rFonts w:hint="eastAsia" w:ascii="宋体" w:hAnsi="宋体" w:eastAsia="宋体" w:cs="宋体"/>
          <w:highlight w:val="none"/>
          <w:lang w:val="en-US"/>
        </w:rPr>
        <w:t>”</w:t>
      </w:r>
      <w:r>
        <w:rPr>
          <w:rFonts w:hint="eastAsia" w:ascii="宋体" w:hAnsi="宋体" w:eastAsia="宋体" w:cs="宋体"/>
          <w:highlight w:val="none"/>
        </w:rPr>
        <w:t>，一直致力于走自主品牌建设之路。公司在品牌建设方面下足了功夫。</w:t>
      </w:r>
    </w:p>
    <w:p w14:paraId="6933F6B0">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f）强化风险意识以推动组织持续经营，积极培养组织未来的领导者</w:t>
      </w:r>
    </w:p>
    <w:p w14:paraId="0851B8E5">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1）提升风险管理意识，推动组织持续经营</w:t>
      </w:r>
    </w:p>
    <w:p w14:paraId="00A7E8DD">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公司创立至今，在取得众多成就的同时，不断强化风险意识，推动组织的持续经营。为此，公司经营管理团队严格把控各部门工作中可能存在的风险点，</w:t>
      </w:r>
      <w:r>
        <w:rPr>
          <w:rFonts w:hint="eastAsia" w:ascii="宋体" w:hAnsi="宋体" w:eastAsia="宋体" w:cs="宋体"/>
          <w:color w:val="0D0D0D"/>
          <w:highlight w:val="none"/>
        </w:rPr>
        <w:t>密切关注外部环境中的潜在风险因素，积极采取风险预防措施，在国家政策、市场需求、产品质量、财务资金、运营管理等方面严格推行风险监测与保持风险敏感性，高层领导不断向公司各级员工灌输风险意识，强调市场竞争的残酷性及环境的复杂性，最小化各种潜在风险对公司的影响。在内部运营风险管理方面，公司对主要内部运营风险评价指标进行识别并采取预防措施，如财务管理每年定期对应收账款进行动态跟踪与管理，防范呆账和坏账风险</w:t>
      </w:r>
      <w:r>
        <w:rPr>
          <w:rFonts w:hint="eastAsia" w:ascii="宋体" w:hAnsi="宋体" w:eastAsia="宋体" w:cs="宋体"/>
          <w:highlight w:val="none"/>
        </w:rPr>
        <w:t>。</w:t>
      </w:r>
    </w:p>
    <w:p w14:paraId="5B2874EC">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r>
        <w:rPr>
          <w:rFonts w:hint="eastAsia" w:ascii="宋体" w:hAnsi="宋体" w:eastAsia="宋体" w:cs="宋体"/>
          <w:highlight w:val="none"/>
        </w:rPr>
        <w:t>图表</w:t>
      </w:r>
      <w:r>
        <w:rPr>
          <w:rFonts w:hint="eastAsia" w:ascii="宋体" w:hAnsi="宋体" w:eastAsia="宋体" w:cs="宋体"/>
          <w:highlight w:val="none"/>
          <w:lang w:val="en-US"/>
        </w:rPr>
        <w:t>2</w:t>
      </w:r>
      <w:r>
        <w:rPr>
          <w:rFonts w:hint="eastAsia" w:ascii="宋体" w:hAnsi="宋体" w:eastAsia="宋体" w:cs="宋体"/>
          <w:highlight w:val="none"/>
        </w:rPr>
        <w:t>.1-</w:t>
      </w:r>
      <w:r>
        <w:rPr>
          <w:rFonts w:hint="eastAsia" w:ascii="宋体" w:hAnsi="宋体" w:eastAsia="宋体" w:cs="宋体"/>
          <w:highlight w:val="none"/>
        </w:rPr>
        <w:fldChar w:fldCharType="begin"/>
      </w:r>
      <w:r>
        <w:rPr>
          <w:rFonts w:hint="eastAsia" w:ascii="宋体" w:hAnsi="宋体" w:eastAsia="宋体" w:cs="宋体"/>
          <w:highlight w:val="none"/>
        </w:rPr>
        <w:instrText xml:space="preserve">SEQ 图表4.1- \* ARABIC</w:instrText>
      </w:r>
      <w:r>
        <w:rPr>
          <w:rFonts w:hint="eastAsia" w:ascii="宋体" w:hAnsi="宋体" w:eastAsia="宋体" w:cs="宋体"/>
          <w:highlight w:val="none"/>
        </w:rPr>
        <w:fldChar w:fldCharType="separate"/>
      </w:r>
      <w:r>
        <w:rPr>
          <w:rFonts w:hint="eastAsia" w:ascii="宋体" w:hAnsi="宋体" w:eastAsia="宋体" w:cs="宋体"/>
          <w:highlight w:val="none"/>
        </w:rPr>
        <w:t>6</w:t>
      </w:r>
      <w:r>
        <w:rPr>
          <w:rFonts w:hint="eastAsia" w:ascii="宋体" w:hAnsi="宋体" w:eastAsia="宋体" w:cs="宋体"/>
          <w:highlight w:val="none"/>
        </w:rPr>
        <w:fldChar w:fldCharType="end"/>
      </w:r>
      <w:r>
        <w:rPr>
          <w:rFonts w:hint="eastAsia" w:ascii="宋体" w:hAnsi="宋体" w:eastAsia="宋体" w:cs="宋体"/>
          <w:highlight w:val="none"/>
        </w:rPr>
        <w:t xml:space="preserve"> 风险管理所采取的行动示例</w:t>
      </w:r>
    </w:p>
    <w:tbl>
      <w:tblPr>
        <w:tblStyle w:val="1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1"/>
        <w:gridCol w:w="2013"/>
        <w:gridCol w:w="2792"/>
        <w:gridCol w:w="4308"/>
      </w:tblGrid>
      <w:tr w14:paraId="26E46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tblHeader/>
          <w:jc w:val="center"/>
        </w:trPr>
        <w:tc>
          <w:tcPr>
            <w:tcW w:w="376" w:type="pct"/>
            <w:tcBorders>
              <w:bottom w:val="single" w:color="000000" w:sz="4" w:space="0"/>
            </w:tcBorders>
            <w:shd w:val="clear" w:color="auto" w:fill="548DD4" w:themeFill="text2" w:themeFillTint="99"/>
            <w:vAlign w:val="center"/>
          </w:tcPr>
          <w:p w14:paraId="66258B8C">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b/>
                <w:highlight w:val="none"/>
              </w:rPr>
            </w:pPr>
            <w:r>
              <w:rPr>
                <w:rFonts w:hint="eastAsia" w:ascii="宋体" w:hAnsi="宋体" w:eastAsia="宋体" w:cs="宋体"/>
                <w:b/>
                <w:highlight w:val="none"/>
              </w:rPr>
              <w:t>风险类型</w:t>
            </w:r>
          </w:p>
        </w:tc>
        <w:tc>
          <w:tcPr>
            <w:tcW w:w="1021" w:type="pct"/>
            <w:tcBorders>
              <w:bottom w:val="single" w:color="000000" w:sz="4" w:space="0"/>
            </w:tcBorders>
            <w:shd w:val="clear" w:color="auto" w:fill="548DD4" w:themeFill="text2" w:themeFillTint="99"/>
            <w:vAlign w:val="center"/>
          </w:tcPr>
          <w:p w14:paraId="08E99828">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b/>
                <w:highlight w:val="none"/>
              </w:rPr>
            </w:pPr>
            <w:r>
              <w:rPr>
                <w:rFonts w:hint="eastAsia" w:ascii="宋体" w:hAnsi="宋体" w:eastAsia="宋体" w:cs="宋体"/>
                <w:b/>
                <w:highlight w:val="none"/>
              </w:rPr>
              <w:t>可能的负面影响</w:t>
            </w:r>
          </w:p>
        </w:tc>
        <w:tc>
          <w:tcPr>
            <w:tcW w:w="1416" w:type="pct"/>
            <w:tcBorders>
              <w:bottom w:val="single" w:color="000000" w:sz="4" w:space="0"/>
            </w:tcBorders>
            <w:shd w:val="clear" w:color="auto" w:fill="548DD4" w:themeFill="text2" w:themeFillTint="99"/>
            <w:vAlign w:val="center"/>
          </w:tcPr>
          <w:p w14:paraId="4FD1802D">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b/>
                <w:highlight w:val="none"/>
              </w:rPr>
            </w:pPr>
            <w:r>
              <w:rPr>
                <w:rFonts w:hint="eastAsia" w:ascii="宋体" w:hAnsi="宋体" w:eastAsia="宋体" w:cs="宋体"/>
                <w:b/>
                <w:highlight w:val="none"/>
              </w:rPr>
              <w:t>导致风险的主要因素</w:t>
            </w:r>
          </w:p>
        </w:tc>
        <w:tc>
          <w:tcPr>
            <w:tcW w:w="2184" w:type="pct"/>
            <w:tcBorders>
              <w:bottom w:val="single" w:color="000000" w:sz="4" w:space="0"/>
            </w:tcBorders>
            <w:shd w:val="clear" w:color="auto" w:fill="548DD4" w:themeFill="text2" w:themeFillTint="99"/>
            <w:vAlign w:val="center"/>
          </w:tcPr>
          <w:p w14:paraId="33100629">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b/>
                <w:highlight w:val="none"/>
              </w:rPr>
            </w:pPr>
            <w:r>
              <w:rPr>
                <w:rFonts w:hint="eastAsia" w:ascii="宋体" w:hAnsi="宋体" w:eastAsia="宋体" w:cs="宋体"/>
                <w:b/>
                <w:highlight w:val="none"/>
              </w:rPr>
              <w:t>风险控制措施</w:t>
            </w:r>
          </w:p>
        </w:tc>
      </w:tr>
      <w:tr w14:paraId="7B4F8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jc w:val="center"/>
        </w:trPr>
        <w:tc>
          <w:tcPr>
            <w:tcW w:w="376" w:type="pct"/>
            <w:shd w:val="clear" w:color="auto" w:fill="auto"/>
            <w:vAlign w:val="center"/>
          </w:tcPr>
          <w:p w14:paraId="2BB916E9">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经营风险</w:t>
            </w:r>
          </w:p>
        </w:tc>
        <w:tc>
          <w:tcPr>
            <w:tcW w:w="1021" w:type="pct"/>
            <w:shd w:val="clear" w:color="auto" w:fill="auto"/>
            <w:vAlign w:val="center"/>
          </w:tcPr>
          <w:p w14:paraId="40B3B55E">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经营决策失误导致公司经营问题</w:t>
            </w:r>
          </w:p>
        </w:tc>
        <w:tc>
          <w:tcPr>
            <w:tcW w:w="1416" w:type="pct"/>
            <w:shd w:val="clear" w:color="auto" w:fill="auto"/>
            <w:vAlign w:val="center"/>
          </w:tcPr>
          <w:p w14:paraId="1E6395B2">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产业政策变化、市场分析与定位不准、战略决策过程不合理等</w:t>
            </w:r>
          </w:p>
        </w:tc>
        <w:tc>
          <w:tcPr>
            <w:tcW w:w="2184" w:type="pct"/>
            <w:shd w:val="clear" w:color="auto" w:fill="auto"/>
            <w:vAlign w:val="center"/>
          </w:tcPr>
          <w:p w14:paraId="69A041EC">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成立战略管理小组，完善战略管理流程，运用科学的战略分析与制定工具，确保战略落地；建立战略监控管理机制，定期动态调整</w:t>
            </w:r>
          </w:p>
        </w:tc>
      </w:tr>
      <w:tr w14:paraId="3A514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6" w:type="pct"/>
            <w:shd w:val="clear" w:color="auto" w:fill="auto"/>
            <w:vAlign w:val="center"/>
          </w:tcPr>
          <w:p w14:paraId="6857DF9B">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财务风险</w:t>
            </w:r>
          </w:p>
        </w:tc>
        <w:tc>
          <w:tcPr>
            <w:tcW w:w="1021" w:type="pct"/>
            <w:shd w:val="clear" w:color="auto" w:fill="auto"/>
            <w:vAlign w:val="center"/>
          </w:tcPr>
          <w:p w14:paraId="6DCE3EA5">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财务危机，影响收益，导致经营困境</w:t>
            </w:r>
          </w:p>
        </w:tc>
        <w:tc>
          <w:tcPr>
            <w:tcW w:w="1416" w:type="pct"/>
            <w:shd w:val="clear" w:color="auto" w:fill="auto"/>
            <w:vAlign w:val="center"/>
          </w:tcPr>
          <w:p w14:paraId="08988DB0">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税收、汇率等财务环境变化，投资、筹资措施不科学，资金回收与管理不善，分配政策不规范</w:t>
            </w:r>
          </w:p>
        </w:tc>
        <w:tc>
          <w:tcPr>
            <w:tcW w:w="2184" w:type="pct"/>
            <w:shd w:val="clear" w:color="auto" w:fill="auto"/>
            <w:vAlign w:val="center"/>
          </w:tcPr>
          <w:p w14:paraId="449935B8">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建立完善的财务管理体系，健全全面预算管理、建立财务风险管控机制、不断提升资金周转率和使用效率等</w:t>
            </w:r>
          </w:p>
        </w:tc>
      </w:tr>
      <w:tr w14:paraId="63FE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6" w:hRule="atLeast"/>
          <w:jc w:val="center"/>
        </w:trPr>
        <w:tc>
          <w:tcPr>
            <w:tcW w:w="376" w:type="pct"/>
            <w:shd w:val="clear" w:color="auto" w:fill="auto"/>
            <w:vAlign w:val="center"/>
          </w:tcPr>
          <w:p w14:paraId="61A66518">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品牌风险</w:t>
            </w:r>
          </w:p>
        </w:tc>
        <w:tc>
          <w:tcPr>
            <w:tcW w:w="1021" w:type="pct"/>
            <w:shd w:val="clear" w:color="auto" w:fill="auto"/>
            <w:vAlign w:val="center"/>
          </w:tcPr>
          <w:p w14:paraId="1BC58855">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品牌损害</w:t>
            </w:r>
          </w:p>
        </w:tc>
        <w:tc>
          <w:tcPr>
            <w:tcW w:w="1416" w:type="pct"/>
            <w:shd w:val="clear" w:color="auto" w:fill="auto"/>
            <w:vAlign w:val="center"/>
          </w:tcPr>
          <w:p w14:paraId="219CCC86">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重大质量事故或因舆情监控管理不当导致</w:t>
            </w:r>
          </w:p>
        </w:tc>
        <w:tc>
          <w:tcPr>
            <w:tcW w:w="2184" w:type="pct"/>
            <w:shd w:val="clear" w:color="auto" w:fill="auto"/>
            <w:vAlign w:val="center"/>
          </w:tcPr>
          <w:p w14:paraId="45E37939">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持续完善内部品牌管理过程，建立舆情监控系统，维护品牌知名度与美誉度</w:t>
            </w:r>
          </w:p>
        </w:tc>
      </w:tr>
      <w:tr w14:paraId="40D4F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6" w:type="pct"/>
            <w:shd w:val="clear" w:color="auto" w:fill="auto"/>
            <w:vAlign w:val="center"/>
          </w:tcPr>
          <w:p w14:paraId="6258E1EA">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质量风险</w:t>
            </w:r>
          </w:p>
        </w:tc>
        <w:tc>
          <w:tcPr>
            <w:tcW w:w="1021" w:type="pct"/>
            <w:shd w:val="clear" w:color="auto" w:fill="auto"/>
            <w:vAlign w:val="center"/>
          </w:tcPr>
          <w:p w14:paraId="397A9531">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法律追责、产品失信</w:t>
            </w:r>
          </w:p>
        </w:tc>
        <w:tc>
          <w:tcPr>
            <w:tcW w:w="1416" w:type="pct"/>
            <w:shd w:val="clear" w:color="auto" w:fill="auto"/>
            <w:vAlign w:val="center"/>
          </w:tcPr>
          <w:p w14:paraId="5465FB97">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产品设计考虑不周、生产技术水平不够、生产过程把关不严</w:t>
            </w:r>
          </w:p>
        </w:tc>
        <w:tc>
          <w:tcPr>
            <w:tcW w:w="2184" w:type="pct"/>
            <w:shd w:val="clear" w:color="auto" w:fill="auto"/>
            <w:vAlign w:val="center"/>
          </w:tcPr>
          <w:p w14:paraId="5F5DCB2A">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建立产品全生命周期管理体系，从设计-采购-生产-物流-营销-售后服务等全过程管控质量</w:t>
            </w:r>
          </w:p>
        </w:tc>
      </w:tr>
      <w:tr w14:paraId="2D16E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7" w:hRule="atLeast"/>
          <w:jc w:val="center"/>
        </w:trPr>
        <w:tc>
          <w:tcPr>
            <w:tcW w:w="376" w:type="pct"/>
            <w:shd w:val="clear" w:color="auto" w:fill="auto"/>
            <w:vAlign w:val="center"/>
          </w:tcPr>
          <w:p w14:paraId="4D40ACD7">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安全风险</w:t>
            </w:r>
          </w:p>
        </w:tc>
        <w:tc>
          <w:tcPr>
            <w:tcW w:w="1021" w:type="pct"/>
            <w:shd w:val="clear" w:color="auto" w:fill="auto"/>
            <w:vAlign w:val="center"/>
          </w:tcPr>
          <w:p w14:paraId="1402858A">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员工人身损害，资产损失，法律追责</w:t>
            </w:r>
          </w:p>
        </w:tc>
        <w:tc>
          <w:tcPr>
            <w:tcW w:w="1416" w:type="pct"/>
            <w:shd w:val="clear" w:color="auto" w:fill="auto"/>
            <w:vAlign w:val="center"/>
          </w:tcPr>
          <w:p w14:paraId="4C59C3E6">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全员安全意识不足、日常管理不规范、安全防护措施不到位</w:t>
            </w:r>
          </w:p>
        </w:tc>
        <w:tc>
          <w:tcPr>
            <w:tcW w:w="2184" w:type="pct"/>
            <w:shd w:val="clear" w:color="auto" w:fill="auto"/>
            <w:vAlign w:val="center"/>
          </w:tcPr>
          <w:p w14:paraId="03CEA991">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建立安全生产责任制，强化员工安全意识，定期开展安全生产培训，提升安全管理水平</w:t>
            </w:r>
          </w:p>
        </w:tc>
      </w:tr>
      <w:tr w14:paraId="046B3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6" w:type="pct"/>
            <w:tcBorders>
              <w:bottom w:val="single" w:color="000000" w:sz="4" w:space="0"/>
            </w:tcBorders>
            <w:shd w:val="clear" w:color="auto" w:fill="auto"/>
            <w:vAlign w:val="center"/>
          </w:tcPr>
          <w:p w14:paraId="765FBA7E">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环境风险</w:t>
            </w:r>
          </w:p>
        </w:tc>
        <w:tc>
          <w:tcPr>
            <w:tcW w:w="1021" w:type="pct"/>
            <w:tcBorders>
              <w:bottom w:val="single" w:color="000000" w:sz="4" w:space="0"/>
            </w:tcBorders>
            <w:shd w:val="clear" w:color="auto" w:fill="auto"/>
            <w:vAlign w:val="center"/>
          </w:tcPr>
          <w:p w14:paraId="40DA98AD">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环境变化影响正常经营</w:t>
            </w:r>
          </w:p>
        </w:tc>
        <w:tc>
          <w:tcPr>
            <w:tcW w:w="1416" w:type="pct"/>
            <w:tcBorders>
              <w:bottom w:val="single" w:color="000000" w:sz="4" w:space="0"/>
            </w:tcBorders>
            <w:shd w:val="clear" w:color="auto" w:fill="auto"/>
            <w:vAlign w:val="center"/>
          </w:tcPr>
          <w:p w14:paraId="356E30A5">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气候恶劣变化、“三废”排放等</w:t>
            </w:r>
          </w:p>
        </w:tc>
        <w:tc>
          <w:tcPr>
            <w:tcW w:w="2184" w:type="pct"/>
            <w:tcBorders>
              <w:bottom w:val="single" w:color="000000" w:sz="4" w:space="0"/>
            </w:tcBorders>
            <w:shd w:val="clear" w:color="auto" w:fill="auto"/>
            <w:vAlign w:val="center"/>
          </w:tcPr>
          <w:p w14:paraId="40E95F0B">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持续完善环境管理体系，每年开展关键场所环境影响因素的识别、评价和应对工作，建立方针、目标和管理方案等</w:t>
            </w:r>
          </w:p>
        </w:tc>
      </w:tr>
      <w:tr w14:paraId="543764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376" w:type="pct"/>
            <w:shd w:val="clear" w:color="auto" w:fill="auto"/>
            <w:vAlign w:val="center"/>
          </w:tcPr>
          <w:p w14:paraId="19A5335D">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市场风险</w:t>
            </w:r>
          </w:p>
        </w:tc>
        <w:tc>
          <w:tcPr>
            <w:tcW w:w="1021" w:type="pct"/>
            <w:shd w:val="clear" w:color="auto" w:fill="auto"/>
            <w:vAlign w:val="center"/>
          </w:tcPr>
          <w:p w14:paraId="61AC18C2">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产品市场认可度降低、市场占有率降低</w:t>
            </w:r>
          </w:p>
        </w:tc>
        <w:tc>
          <w:tcPr>
            <w:tcW w:w="1416" w:type="pct"/>
            <w:shd w:val="clear" w:color="auto" w:fill="auto"/>
            <w:vAlign w:val="center"/>
          </w:tcPr>
          <w:p w14:paraId="352CF293">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市场客户意见反馈处理不到位，产品售后服务不及时，产品上市管理不足</w:t>
            </w:r>
          </w:p>
        </w:tc>
        <w:tc>
          <w:tcPr>
            <w:tcW w:w="2184" w:type="pct"/>
            <w:shd w:val="clear" w:color="auto" w:fill="auto"/>
            <w:vAlign w:val="center"/>
          </w:tcPr>
          <w:p w14:paraId="277C69EA">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关注竞争对手、标杆企业的动态，分析市场竞争成功要素，努力形成自身核心竞争优势，把握市场变化，产品研发创新，并通过品牌营销，提升品牌形象</w:t>
            </w:r>
          </w:p>
        </w:tc>
      </w:tr>
      <w:tr w14:paraId="2EDA8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76" w:type="pct"/>
            <w:shd w:val="clear" w:color="auto" w:fill="auto"/>
            <w:vAlign w:val="center"/>
          </w:tcPr>
          <w:p w14:paraId="429C0771">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人才风险</w:t>
            </w:r>
          </w:p>
        </w:tc>
        <w:tc>
          <w:tcPr>
            <w:tcW w:w="1021" w:type="pct"/>
            <w:shd w:val="clear" w:color="auto" w:fill="auto"/>
            <w:vAlign w:val="center"/>
          </w:tcPr>
          <w:p w14:paraId="4D7F2C31">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人才流失、后备人才不足、关键岗位人才缺失、人员工作积极性不足</w:t>
            </w:r>
          </w:p>
        </w:tc>
        <w:tc>
          <w:tcPr>
            <w:tcW w:w="1416" w:type="pct"/>
            <w:shd w:val="clear" w:color="auto" w:fill="auto"/>
            <w:vAlign w:val="center"/>
          </w:tcPr>
          <w:p w14:paraId="076D865E">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人才选拔、培养、配置、激励机制不健全，人才梯队建设不到位</w:t>
            </w:r>
          </w:p>
        </w:tc>
        <w:tc>
          <w:tcPr>
            <w:tcW w:w="2184" w:type="pct"/>
            <w:shd w:val="clear" w:color="auto" w:fill="auto"/>
            <w:vAlign w:val="center"/>
          </w:tcPr>
          <w:p w14:paraId="043D7430">
            <w:pPr>
              <w:keepNext w:val="0"/>
              <w:keepLines w:val="0"/>
              <w:pageBreakBefore w:val="0"/>
              <w:kinsoku/>
              <w:wordWrap/>
              <w:overflowPunct/>
              <w:topLinePunct w:val="0"/>
              <w:autoSpaceDE w:val="0"/>
              <w:autoSpaceDN w:val="0"/>
              <w:bidi w:val="0"/>
              <w:adjustRightInd/>
              <w:snapToGrid w:val="0"/>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注重人员内部培训与外部引进；建立储备干部培养制度，并重点培养、考察，逐步培养企业核心人才及未来领导者</w:t>
            </w:r>
          </w:p>
        </w:tc>
      </w:tr>
    </w:tbl>
    <w:p w14:paraId="07163999">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2）加强未来管理者培养，建立组织人才梯队</w:t>
      </w:r>
    </w:p>
    <w:p w14:paraId="1E33801A">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为确保组织的延续性，根据人力资源发展规划，公司在人力资源管理过程中设定人才梯队建设这一关键绩效指标，定期开展人才盘点工作，识别组织的关键岗位及后备管理人员，对关键岗位继任者进行甄选、组织管理形式、培养方式、评估、晋升等内容进行梳理。</w:t>
      </w:r>
    </w:p>
    <w:p w14:paraId="3AAFF564">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同时，公司针对不同类型岗位开展针对性的培训，通过专业技能、管理学科等方面的培训提升综合素质，结合公司内部培训以及外部培训、岗位轮换等方式，不断提升各级领导者的综合领导力。</w:t>
      </w:r>
    </w:p>
    <w:p w14:paraId="00BB70F2">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g）定期评价组织绩效并不断提升改进</w:t>
      </w:r>
    </w:p>
    <w:p w14:paraId="3A98B71C">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1）建立科学的绩效评价体系以评价组织绩效</w:t>
      </w:r>
    </w:p>
    <w:p w14:paraId="19214952">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高层领导从财务、顾客与市场、内部运营、学习与成长、战略管理等方面定期评估组织的绩效和能力，并适时调整，持续改进，追求卓越绩效，提升组织的应变能力。</w:t>
      </w:r>
    </w:p>
    <w:p w14:paraId="06B2C39D">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高层领导为了实现战略目标和行动计划，推行以目标管理为主的方法。每年的经营任务指标和方针确定后，将公司的年度经营任务目标化解成每季每月目标，向全体员工传达、分解，确保每一位员工都了解当年的目标任务。</w:t>
      </w:r>
    </w:p>
    <w:p w14:paraId="0C0EBECD">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公司高层领导进行绩效评审，并对未完成的指标加以明确，并进行跟踪，及时掌握指标完成情况，必要时采取适当措施。</w:t>
      </w:r>
    </w:p>
    <w:p w14:paraId="3BF23464">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通过年度形势分析会、年度战略研讨会、月度例会、绩效考核等方式，定期对关键绩效指标、战略经营情况、生产经营指标、日常运营情况进行审核、评价，以不断改进组织绩效，采取必要的行动。</w:t>
      </w:r>
    </w:p>
    <w:p w14:paraId="7EB7924C">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通过每月的成本、绩效考核、项目的分阶段例会等活动，对公司取得的阶段性经营结果、成功案例进行分析，及时总结，及时推广。</w:t>
      </w:r>
    </w:p>
    <w:p w14:paraId="1F161F24">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公司领导在年度战略讨论期间确立下年度公司层面的总体目标，各个部门根据目标进行分解，制定各自的行动计划。本年度的行动计划由最高管理者签署后实施。每月举办一次业务工作会议，对目标进度进行回顾和比较，由负责人汇报工作情况及下一阶段的工作实施计划。同时，高层领导积极引入先进的管理工具。</w:t>
      </w:r>
    </w:p>
    <w:p w14:paraId="538A3FE5">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highlight w:val="none"/>
        </w:rPr>
      </w:pPr>
      <w:r>
        <w:rPr>
          <w:rFonts w:hint="eastAsia" w:ascii="宋体" w:hAnsi="宋体" w:eastAsia="宋体" w:cs="宋体"/>
          <w:highlight w:val="none"/>
        </w:rPr>
        <w:t>图表</w:t>
      </w:r>
      <w:r>
        <w:rPr>
          <w:rFonts w:hint="eastAsia" w:ascii="宋体" w:hAnsi="宋体" w:eastAsia="宋体" w:cs="宋体"/>
          <w:highlight w:val="none"/>
          <w:lang w:val="en-US"/>
        </w:rPr>
        <w:t>2</w:t>
      </w:r>
      <w:r>
        <w:rPr>
          <w:rFonts w:hint="eastAsia" w:ascii="宋体" w:hAnsi="宋体" w:eastAsia="宋体" w:cs="宋体"/>
          <w:highlight w:val="none"/>
        </w:rPr>
        <w:t>.1-</w:t>
      </w:r>
      <w:r>
        <w:rPr>
          <w:rFonts w:hint="eastAsia" w:ascii="宋体" w:hAnsi="宋体" w:eastAsia="宋体" w:cs="宋体"/>
          <w:highlight w:val="none"/>
        </w:rPr>
        <w:fldChar w:fldCharType="begin"/>
      </w:r>
      <w:r>
        <w:rPr>
          <w:rFonts w:hint="eastAsia" w:ascii="宋体" w:hAnsi="宋体" w:eastAsia="宋体" w:cs="宋体"/>
          <w:highlight w:val="none"/>
        </w:rPr>
        <w:instrText xml:space="preserve">SEQ 图表4.1- \* ARABIC</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highlight w:val="none"/>
        </w:rPr>
        <w:t xml:space="preserve"> 公司组织绩效评审方式示例</w:t>
      </w:r>
    </w:p>
    <w:tbl>
      <w:tblPr>
        <w:tblStyle w:val="1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6"/>
        <w:gridCol w:w="3595"/>
        <w:gridCol w:w="3245"/>
        <w:gridCol w:w="1526"/>
      </w:tblGrid>
      <w:tr w14:paraId="6534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blHeader/>
          <w:jc w:val="center"/>
        </w:trPr>
        <w:tc>
          <w:tcPr>
            <w:tcW w:w="754" w:type="pct"/>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378CA315">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b/>
                <w:szCs w:val="18"/>
                <w:highlight w:val="none"/>
              </w:rPr>
            </w:pPr>
            <w:r>
              <w:rPr>
                <w:rFonts w:hint="eastAsia" w:ascii="宋体" w:hAnsi="宋体" w:eastAsia="宋体" w:cs="宋体"/>
                <w:b/>
                <w:szCs w:val="18"/>
                <w:highlight w:val="none"/>
              </w:rPr>
              <w:t>评价模块</w:t>
            </w:r>
          </w:p>
        </w:tc>
        <w:tc>
          <w:tcPr>
            <w:tcW w:w="1824" w:type="pct"/>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77EFD120">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b/>
                <w:szCs w:val="18"/>
                <w:highlight w:val="none"/>
              </w:rPr>
            </w:pPr>
            <w:r>
              <w:rPr>
                <w:rFonts w:hint="eastAsia" w:ascii="宋体" w:hAnsi="宋体" w:eastAsia="宋体" w:cs="宋体"/>
                <w:b/>
                <w:szCs w:val="18"/>
                <w:highlight w:val="none"/>
              </w:rPr>
              <w:t>评价内容</w:t>
            </w:r>
          </w:p>
        </w:tc>
        <w:tc>
          <w:tcPr>
            <w:tcW w:w="1646" w:type="pct"/>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51728624">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b/>
                <w:szCs w:val="18"/>
                <w:highlight w:val="none"/>
              </w:rPr>
            </w:pPr>
            <w:r>
              <w:rPr>
                <w:rFonts w:hint="eastAsia" w:ascii="宋体" w:hAnsi="宋体" w:eastAsia="宋体" w:cs="宋体"/>
                <w:b/>
                <w:szCs w:val="18"/>
                <w:highlight w:val="none"/>
              </w:rPr>
              <w:t>评价方法</w:t>
            </w:r>
          </w:p>
        </w:tc>
        <w:tc>
          <w:tcPr>
            <w:tcW w:w="774" w:type="pct"/>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14:paraId="3DF494AC">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b/>
                <w:szCs w:val="18"/>
                <w:highlight w:val="none"/>
              </w:rPr>
            </w:pPr>
            <w:r>
              <w:rPr>
                <w:rFonts w:hint="eastAsia" w:ascii="宋体" w:hAnsi="宋体" w:eastAsia="宋体" w:cs="宋体"/>
                <w:b/>
                <w:szCs w:val="18"/>
                <w:highlight w:val="none"/>
              </w:rPr>
              <w:t>评价周期</w:t>
            </w:r>
          </w:p>
        </w:tc>
      </w:tr>
      <w:tr w14:paraId="7AA5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30DB3A">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长短期绩效目标达成情况</w:t>
            </w:r>
          </w:p>
        </w:tc>
        <w:tc>
          <w:tcPr>
            <w:tcW w:w="1824" w:type="pct"/>
            <w:tcBorders>
              <w:top w:val="single" w:color="auto" w:sz="4" w:space="0"/>
              <w:left w:val="single" w:color="auto" w:sz="4" w:space="0"/>
              <w:bottom w:val="single" w:color="auto" w:sz="4" w:space="0"/>
              <w:right w:val="single" w:color="auto" w:sz="4" w:space="0"/>
            </w:tcBorders>
            <w:shd w:val="clear" w:color="auto" w:fill="auto"/>
            <w:vAlign w:val="center"/>
          </w:tcPr>
          <w:p w14:paraId="656CA1D0">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关键绩效指标达成情况</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14:paraId="10561E0D">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经营分析会议、总结会议等</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4A60A497">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月度、季度、半年度、年度</w:t>
            </w:r>
          </w:p>
        </w:tc>
      </w:tr>
      <w:tr w14:paraId="6BFB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7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A11E0">
            <w:pPr>
              <w:keepNext w:val="0"/>
              <w:keepLines w:val="0"/>
              <w:pageBreakBefore w:val="0"/>
              <w:widowControl/>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p>
        </w:tc>
        <w:tc>
          <w:tcPr>
            <w:tcW w:w="1824" w:type="pct"/>
            <w:tcBorders>
              <w:top w:val="single" w:color="auto" w:sz="4" w:space="0"/>
              <w:left w:val="single" w:color="auto" w:sz="4" w:space="0"/>
              <w:bottom w:val="single" w:color="auto" w:sz="4" w:space="0"/>
              <w:right w:val="single" w:color="auto" w:sz="4" w:space="0"/>
            </w:tcBorders>
            <w:shd w:val="clear" w:color="auto" w:fill="auto"/>
            <w:vAlign w:val="center"/>
          </w:tcPr>
          <w:p w14:paraId="46C9DBCB">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战略实施情况、战略调整</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14:paraId="1D1DBDA7">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战略研讨会</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2DE2BAD3">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次/半年</w:t>
            </w:r>
          </w:p>
        </w:tc>
      </w:tr>
      <w:tr w14:paraId="7952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14:paraId="1639792F">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竞争绩效</w:t>
            </w:r>
          </w:p>
        </w:tc>
        <w:tc>
          <w:tcPr>
            <w:tcW w:w="1824" w:type="pct"/>
            <w:tcBorders>
              <w:top w:val="single" w:color="auto" w:sz="4" w:space="0"/>
              <w:left w:val="single" w:color="auto" w:sz="4" w:space="0"/>
              <w:bottom w:val="single" w:color="auto" w:sz="4" w:space="0"/>
              <w:right w:val="single" w:color="auto" w:sz="4" w:space="0"/>
            </w:tcBorders>
            <w:shd w:val="clear" w:color="auto" w:fill="auto"/>
            <w:vAlign w:val="center"/>
          </w:tcPr>
          <w:p w14:paraId="2F28CCCD">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主要指标与标杆和竞争对手对比</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14:paraId="677637C8">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对比分析等</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4E02C40A">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次/半年</w:t>
            </w:r>
          </w:p>
        </w:tc>
      </w:tr>
      <w:tr w14:paraId="51610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D2687C3">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体系管理有效性</w:t>
            </w:r>
          </w:p>
        </w:tc>
        <w:tc>
          <w:tcPr>
            <w:tcW w:w="1824" w:type="pct"/>
            <w:tcBorders>
              <w:top w:val="single" w:color="auto" w:sz="4" w:space="0"/>
              <w:left w:val="single" w:color="auto" w:sz="4" w:space="0"/>
              <w:bottom w:val="single" w:color="auto" w:sz="4" w:space="0"/>
              <w:right w:val="single" w:color="auto" w:sz="4" w:space="0"/>
            </w:tcBorders>
            <w:shd w:val="clear" w:color="auto" w:fill="auto"/>
            <w:vAlign w:val="center"/>
          </w:tcPr>
          <w:p w14:paraId="5B7AEB11">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各项管理体系运行情况</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14:paraId="63ABA6E9">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cs="宋体"/>
                <w:sz w:val="24"/>
                <w:szCs w:val="24"/>
                <w:highlight w:val="none"/>
                <w:lang w:val="en-US" w:eastAsia="zh-CN"/>
              </w:rPr>
              <w:t>销售部</w:t>
            </w:r>
            <w:r>
              <w:rPr>
                <w:rFonts w:hint="eastAsia" w:ascii="宋体" w:hAnsi="宋体" w:eastAsia="宋体" w:cs="宋体"/>
                <w:sz w:val="24"/>
                <w:szCs w:val="24"/>
                <w:highlight w:val="none"/>
              </w:rPr>
              <w:t>等部门内部审核</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00C15C51">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次/半年</w:t>
            </w:r>
          </w:p>
        </w:tc>
      </w:tr>
      <w:tr w14:paraId="789B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979DDD">
            <w:pPr>
              <w:keepNext w:val="0"/>
              <w:keepLines w:val="0"/>
              <w:pageBreakBefore w:val="0"/>
              <w:widowControl/>
              <w:kinsoku/>
              <w:wordWrap/>
              <w:overflowPunct/>
              <w:topLinePunct w:val="0"/>
              <w:autoSpaceDE w:val="0"/>
              <w:autoSpaceDN w:val="0"/>
              <w:bidi w:val="0"/>
              <w:adjustRightInd/>
              <w:spacing w:line="240" w:lineRule="auto"/>
              <w:ind w:left="0" w:right="0" w:firstLine="0" w:firstLineChars="0"/>
              <w:textAlignment w:val="auto"/>
              <w:rPr>
                <w:rFonts w:hint="eastAsia" w:ascii="宋体" w:hAnsi="宋体" w:eastAsia="宋体" w:cs="宋体"/>
                <w:sz w:val="24"/>
                <w:szCs w:val="24"/>
                <w:highlight w:val="none"/>
              </w:rPr>
            </w:pPr>
          </w:p>
        </w:tc>
        <w:tc>
          <w:tcPr>
            <w:tcW w:w="1824" w:type="pct"/>
            <w:tcBorders>
              <w:top w:val="single" w:color="auto" w:sz="4" w:space="0"/>
              <w:left w:val="single" w:color="auto" w:sz="4" w:space="0"/>
              <w:bottom w:val="single" w:color="auto" w:sz="4" w:space="0"/>
              <w:right w:val="single" w:color="auto" w:sz="4" w:space="0"/>
            </w:tcBorders>
            <w:shd w:val="clear" w:color="auto" w:fill="auto"/>
            <w:vAlign w:val="center"/>
          </w:tcPr>
          <w:p w14:paraId="2DBB49E8">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生产、消防安全及职业健康工作落实情况</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14:paraId="7B57C378">
            <w:pPr>
              <w:keepNext w:val="0"/>
              <w:keepLines w:val="0"/>
              <w:pageBreakBefore w:val="0"/>
              <w:widowControl/>
              <w:suppressLineNumbers w:val="0"/>
              <w:kinsoku/>
              <w:wordWrap/>
              <w:overflowPunct/>
              <w:topLinePunct w:val="0"/>
              <w:autoSpaceDE w:val="0"/>
              <w:autoSpaceDN w:val="0"/>
              <w:bidi w:val="0"/>
              <w:adjustRightInd/>
              <w:spacing w:line="240" w:lineRule="auto"/>
              <w:ind w:left="0" w:right="0" w:firstLine="0" w:firstLineChars="0"/>
              <w:jc w:val="left"/>
              <w:textAlignment w:val="auto"/>
              <w:rPr>
                <w:rFonts w:hint="eastAsia" w:ascii="宋体" w:hAnsi="宋体" w:eastAsia="宋体" w:cs="宋体"/>
                <w:sz w:val="24"/>
                <w:szCs w:val="24"/>
                <w:highlight w:val="none"/>
              </w:rPr>
            </w:pPr>
            <w:r>
              <w:rPr>
                <w:rFonts w:hint="eastAsia" w:cs="宋体"/>
                <w:sz w:val="24"/>
                <w:szCs w:val="24"/>
                <w:highlight w:val="none"/>
                <w:lang w:eastAsia="zh-CN"/>
              </w:rPr>
              <w:t>生产部</w:t>
            </w:r>
            <w:r>
              <w:rPr>
                <w:rFonts w:hint="eastAsia" w:ascii="宋体" w:hAnsi="宋体" w:eastAsia="宋体" w:cs="宋体"/>
                <w:sz w:val="24"/>
                <w:szCs w:val="24"/>
                <w:highlight w:val="none"/>
              </w:rPr>
              <w:t>等相关部门进行评审</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4B1EB2BD">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次/月</w:t>
            </w:r>
          </w:p>
        </w:tc>
      </w:tr>
      <w:tr w14:paraId="0664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4" w:type="pct"/>
            <w:tcBorders>
              <w:top w:val="single" w:color="auto" w:sz="4" w:space="0"/>
              <w:left w:val="single" w:color="auto" w:sz="4" w:space="0"/>
              <w:bottom w:val="single" w:color="auto" w:sz="4" w:space="0"/>
              <w:right w:val="single" w:color="auto" w:sz="4" w:space="0"/>
            </w:tcBorders>
            <w:shd w:val="clear" w:color="auto" w:fill="auto"/>
            <w:vAlign w:val="center"/>
          </w:tcPr>
          <w:p w14:paraId="4C6389BB">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社会责任</w:t>
            </w:r>
          </w:p>
        </w:tc>
        <w:tc>
          <w:tcPr>
            <w:tcW w:w="1824" w:type="pct"/>
            <w:tcBorders>
              <w:top w:val="single" w:color="auto" w:sz="4" w:space="0"/>
              <w:left w:val="single" w:color="auto" w:sz="4" w:space="0"/>
              <w:bottom w:val="single" w:color="auto" w:sz="4" w:space="0"/>
              <w:right w:val="single" w:color="auto" w:sz="4" w:space="0"/>
            </w:tcBorders>
            <w:shd w:val="clear" w:color="auto" w:fill="auto"/>
            <w:vAlign w:val="center"/>
          </w:tcPr>
          <w:p w14:paraId="2179E142">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公益支持、相关方利益的保护等</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14:paraId="1CE0C77E">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各相关方信息反馈、公益支持计划完成情况等</w:t>
            </w:r>
          </w:p>
        </w:tc>
        <w:tc>
          <w:tcPr>
            <w:tcW w:w="774" w:type="pct"/>
            <w:tcBorders>
              <w:top w:val="single" w:color="auto" w:sz="4" w:space="0"/>
              <w:left w:val="single" w:color="auto" w:sz="4" w:space="0"/>
              <w:bottom w:val="single" w:color="auto" w:sz="4" w:space="0"/>
              <w:right w:val="single" w:color="auto" w:sz="4" w:space="0"/>
            </w:tcBorders>
            <w:shd w:val="clear" w:color="auto" w:fill="auto"/>
            <w:vAlign w:val="center"/>
          </w:tcPr>
          <w:p w14:paraId="528D99E4">
            <w:pPr>
              <w:keepNext w:val="0"/>
              <w:keepLines w:val="0"/>
              <w:pageBreakBefore w:val="0"/>
              <w:kinsoku/>
              <w:wordWrap/>
              <w:overflowPunct/>
              <w:topLinePunct w:val="0"/>
              <w:autoSpaceDE w:val="0"/>
              <w:autoSpaceDN w:val="0"/>
              <w:bidi w:val="0"/>
              <w:adjustRightInd/>
              <w:spacing w:line="240" w:lineRule="auto"/>
              <w:ind w:left="0" w:right="0" w:firstLine="0" w:firstLineChars="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年度</w:t>
            </w:r>
          </w:p>
        </w:tc>
      </w:tr>
    </w:tbl>
    <w:p w14:paraId="09E4ACAB">
      <w:pPr>
        <w:pStyle w:val="5"/>
        <w:keepNext w:val="0"/>
        <w:keepLines w:val="0"/>
        <w:pageBreakBefore w:val="0"/>
        <w:kinsoku/>
        <w:wordWrap/>
        <w:overflowPunct/>
        <w:topLinePunct w:val="0"/>
        <w:autoSpaceDE w:val="0"/>
        <w:autoSpaceDN w:val="0"/>
        <w:bidi w:val="0"/>
        <w:adjustRightInd/>
        <w:spacing w:line="360" w:lineRule="auto"/>
        <w:ind w:left="0" w:right="0" w:firstLine="0" w:firstLineChars="0"/>
        <w:jc w:val="both"/>
        <w:textAlignment w:val="auto"/>
        <w:rPr>
          <w:rFonts w:hint="eastAsia" w:ascii="宋体" w:hAnsi="宋体" w:eastAsia="宋体" w:cs="宋体"/>
          <w:highlight w:val="none"/>
        </w:rPr>
      </w:pPr>
      <w:r>
        <w:rPr>
          <w:rFonts w:hint="eastAsia" w:ascii="宋体" w:hAnsi="宋体" w:eastAsia="宋体" w:cs="宋体"/>
          <w:highlight w:val="none"/>
        </w:rPr>
        <w:t>2）确定和落实改进关键业务的优先次序，识别改进与创新机会</w:t>
      </w:r>
    </w:p>
    <w:p w14:paraId="55763164">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highlight w:val="none"/>
        </w:rPr>
      </w:pPr>
      <w:r>
        <w:rPr>
          <w:rFonts w:hint="eastAsia" w:ascii="宋体" w:hAnsi="宋体" w:eastAsia="宋体" w:cs="宋体"/>
          <w:highlight w:val="none"/>
        </w:rPr>
        <w:t>高层领导通过战略研讨会、管理评审会、定期的经营分析会等方式评价公司的关键绩效指标，以识别改进和创新的重点。根据绩效评审结果，按照与公司使命、愿景、目标、顾客满意度等相关性大小，确定改进问题，明确改进优先次序并识别创新机会，通过“立项”方式，明确责任部门和责任人，对改进计划采取重责考评限期改进等办法推进落实。一方面做好内部策划实施，另一方面及时沟通合作伙伴，以便步调一致，协同创新。</w:t>
      </w:r>
    </w:p>
    <w:p w14:paraId="2A28F9E9">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sz w:val="32"/>
          <w:szCs w:val="32"/>
          <w:highlight w:val="none"/>
        </w:rPr>
      </w:pPr>
      <w:bookmarkStart w:id="6" w:name="三、守法合规"/>
      <w:bookmarkEnd w:id="6"/>
      <w:bookmarkStart w:id="7" w:name="_Toc24531707"/>
    </w:p>
    <w:p w14:paraId="71CBE36E">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sz w:val="32"/>
          <w:szCs w:val="32"/>
          <w:highlight w:val="none"/>
        </w:rPr>
      </w:pPr>
    </w:p>
    <w:p w14:paraId="429185AD">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三、守法合规</w:t>
      </w:r>
      <w:bookmarkEnd w:id="7"/>
    </w:p>
    <w:p w14:paraId="209CE3B5">
      <w:pPr>
        <w:pStyle w:val="5"/>
        <w:keepNext w:val="0"/>
        <w:keepLines w:val="0"/>
        <w:pageBreakBefore w:val="0"/>
        <w:kinsoku/>
        <w:wordWrap/>
        <w:overflowPunct/>
        <w:topLinePunct w:val="0"/>
        <w:autoSpaceDE w:val="0"/>
        <w:autoSpaceDN w:val="0"/>
        <w:bidi w:val="0"/>
        <w:adjustRightInd/>
        <w:spacing w:line="360" w:lineRule="auto"/>
        <w:ind w:left="0" w:right="0" w:firstLine="452" w:firstLineChars="200"/>
        <w:jc w:val="both"/>
        <w:textAlignment w:val="auto"/>
        <w:rPr>
          <w:rFonts w:hint="eastAsia" w:ascii="宋体" w:hAnsi="宋体" w:eastAsia="宋体" w:cs="宋体"/>
          <w:highlight w:val="none"/>
        </w:rPr>
      </w:pPr>
      <w:r>
        <w:rPr>
          <w:rFonts w:hint="eastAsia" w:ascii="宋体" w:hAnsi="宋体" w:eastAsia="宋体" w:cs="宋体"/>
          <w:spacing w:val="-7"/>
          <w:highlight w:val="none"/>
        </w:rPr>
        <w:t>公司遵守商业道德和法律规定，建立了完备的合规体系。</w:t>
      </w:r>
      <w:r>
        <w:rPr>
          <w:rFonts w:hint="eastAsia" w:cs="宋体"/>
          <w:spacing w:val="-7"/>
          <w:highlight w:val="none"/>
          <w:lang w:eastAsia="zh-CN"/>
        </w:rPr>
        <w:t>惠同</w:t>
      </w:r>
      <w:r>
        <w:rPr>
          <w:rFonts w:hint="eastAsia" w:ascii="宋体" w:hAnsi="宋体" w:eastAsia="宋体" w:cs="宋体"/>
          <w:spacing w:val="-7"/>
          <w:highlight w:val="none"/>
        </w:rPr>
        <w:t>合规体系包</w:t>
      </w:r>
      <w:r>
        <w:rPr>
          <w:rFonts w:hint="eastAsia" w:ascii="宋体" w:hAnsi="宋体" w:eastAsia="宋体" w:cs="宋体"/>
          <w:spacing w:val="-21"/>
          <w:highlight w:val="none"/>
        </w:rPr>
        <w:t>括内部合规制度、内部合规通报体系、内部监督制度和惩戒制度，重点关注环境、</w:t>
      </w:r>
      <w:r>
        <w:rPr>
          <w:rFonts w:hint="eastAsia" w:ascii="宋体" w:hAnsi="宋体" w:eastAsia="宋体" w:cs="宋体"/>
          <w:highlight w:val="none"/>
        </w:rPr>
        <w:t>商业伦理、产品质量和供应链领域。</w:t>
      </w:r>
    </w:p>
    <w:p w14:paraId="2684ACAA">
      <w:pPr>
        <w:pStyle w:val="5"/>
        <w:keepNext w:val="0"/>
        <w:keepLines w:val="0"/>
        <w:pageBreakBefore w:val="0"/>
        <w:kinsoku/>
        <w:wordWrap/>
        <w:overflowPunct/>
        <w:topLinePunct w:val="0"/>
        <w:autoSpaceDE w:val="0"/>
        <w:autoSpaceDN w:val="0"/>
        <w:bidi w:val="0"/>
        <w:adjustRightInd/>
        <w:spacing w:line="360" w:lineRule="auto"/>
        <w:ind w:left="0" w:right="0" w:firstLine="448" w:firstLineChars="200"/>
        <w:jc w:val="both"/>
        <w:textAlignment w:val="auto"/>
        <w:rPr>
          <w:rFonts w:hint="eastAsia" w:ascii="宋体" w:hAnsi="宋体" w:eastAsia="宋体" w:cs="宋体"/>
          <w:highlight w:val="none"/>
        </w:rPr>
      </w:pPr>
      <w:r>
        <w:rPr>
          <w:rFonts w:hint="eastAsia" w:ascii="宋体" w:hAnsi="宋体" w:eastAsia="宋体" w:cs="宋体"/>
          <w:spacing w:val="-8"/>
          <w:highlight w:val="none"/>
        </w:rPr>
        <w:t>公司员工遵循诚实守信、平等公正、符合法规、不谋私利、利益回避和信息</w:t>
      </w:r>
      <w:r>
        <w:rPr>
          <w:rFonts w:hint="eastAsia" w:ascii="宋体" w:hAnsi="宋体" w:eastAsia="宋体" w:cs="宋体"/>
          <w:spacing w:val="-10"/>
          <w:highlight w:val="none"/>
        </w:rPr>
        <w:t>保密等基本准则。对待同事平等尊重；对待客户以提供高品质的产品和服务为己任；对待供应商诚信公正寻求双赢。</w:t>
      </w:r>
    </w:p>
    <w:p w14:paraId="086B7077">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sz w:val="32"/>
          <w:szCs w:val="32"/>
          <w:highlight w:val="none"/>
        </w:rPr>
      </w:pPr>
      <w:bookmarkStart w:id="8" w:name="四、回报股东"/>
      <w:bookmarkEnd w:id="8"/>
      <w:bookmarkStart w:id="9" w:name="_Toc24531708"/>
      <w:r>
        <w:rPr>
          <w:rFonts w:hint="eastAsia" w:ascii="宋体" w:hAnsi="宋体" w:eastAsia="宋体" w:cs="宋体"/>
          <w:b/>
          <w:bCs/>
          <w:sz w:val="32"/>
          <w:szCs w:val="32"/>
          <w:highlight w:val="none"/>
        </w:rPr>
        <w:t>四、回报股东</w:t>
      </w:r>
      <w:bookmarkEnd w:id="9"/>
    </w:p>
    <w:p w14:paraId="0113F4A8">
      <w:pPr>
        <w:pStyle w:val="5"/>
        <w:keepNext w:val="0"/>
        <w:keepLines w:val="0"/>
        <w:pageBreakBefore w:val="0"/>
        <w:kinsoku/>
        <w:wordWrap/>
        <w:overflowPunct/>
        <w:topLinePunct w:val="0"/>
        <w:autoSpaceDE w:val="0"/>
        <w:autoSpaceDN w:val="0"/>
        <w:bidi w:val="0"/>
        <w:adjustRightInd/>
        <w:spacing w:line="360" w:lineRule="auto"/>
        <w:ind w:left="0" w:right="0" w:firstLine="456" w:firstLineChars="200"/>
        <w:textAlignment w:val="auto"/>
        <w:rPr>
          <w:rFonts w:hint="eastAsia" w:ascii="宋体" w:hAnsi="宋体" w:eastAsia="宋体" w:cs="宋体"/>
          <w:highlight w:val="none"/>
        </w:rPr>
      </w:pPr>
      <w:r>
        <w:rPr>
          <w:rFonts w:hint="eastAsia" w:ascii="宋体" w:hAnsi="宋体" w:eastAsia="宋体" w:cs="宋体"/>
          <w:spacing w:val="-6"/>
          <w:highlight w:val="none"/>
        </w:rPr>
        <w:t>企业只有不断创造股东价值，才能吸引股东资本，实现稳步发展。有效地提</w:t>
      </w:r>
      <w:r>
        <w:rPr>
          <w:rFonts w:hint="eastAsia" w:ascii="宋体" w:hAnsi="宋体" w:eastAsia="宋体" w:cs="宋体"/>
          <w:spacing w:val="-7"/>
          <w:highlight w:val="none"/>
        </w:rPr>
        <w:t>升股东价值，能增强公司在资本市场的竞争力，同时也有利于公司的持续经营。</w:t>
      </w:r>
      <w:r>
        <w:rPr>
          <w:rFonts w:hint="eastAsia" w:ascii="宋体" w:hAnsi="宋体" w:eastAsia="宋体" w:cs="宋体"/>
          <w:spacing w:val="-1"/>
          <w:highlight w:val="none"/>
        </w:rPr>
        <w:t>企业的决策者应主动协助股东和投资者增加对企业的了解，唤起对企业的兴趣，</w:t>
      </w:r>
      <w:r>
        <w:rPr>
          <w:rFonts w:hint="eastAsia" w:ascii="宋体" w:hAnsi="宋体" w:eastAsia="宋体" w:cs="宋体"/>
          <w:highlight w:val="none"/>
        </w:rPr>
        <w:t>刺激投资者对企业的长期投资，在股东和投资者心目中树立良好的形象。</w:t>
      </w:r>
    </w:p>
    <w:p w14:paraId="77E36392">
      <w:pPr>
        <w:pStyle w:val="15"/>
        <w:keepNext w:val="0"/>
        <w:keepLines w:val="0"/>
        <w:pageBreakBefore w:val="0"/>
        <w:numPr>
          <w:ilvl w:val="1"/>
          <w:numId w:val="5"/>
        </w:numPr>
        <w:tabs>
          <w:tab w:val="left" w:pos="600"/>
        </w:tabs>
        <w:kinsoku/>
        <w:wordWrap/>
        <w:overflowPunct/>
        <w:topLinePunct w:val="0"/>
        <w:autoSpaceDE w:val="0"/>
        <w:autoSpaceDN w:val="0"/>
        <w:bidi w:val="0"/>
        <w:adjustRightInd/>
        <w:spacing w:before="0"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保障股东权益</w:t>
      </w:r>
    </w:p>
    <w:p w14:paraId="57868ACE">
      <w:pPr>
        <w:pStyle w:val="5"/>
        <w:keepNext w:val="0"/>
        <w:keepLines w:val="0"/>
        <w:pageBreakBefore w:val="0"/>
        <w:kinsoku/>
        <w:wordWrap/>
        <w:overflowPunct/>
        <w:topLinePunct w:val="0"/>
        <w:autoSpaceDE w:val="0"/>
        <w:autoSpaceDN w:val="0"/>
        <w:bidi w:val="0"/>
        <w:adjustRightInd/>
        <w:spacing w:line="360" w:lineRule="auto"/>
        <w:ind w:left="0" w:right="0" w:firstLine="460" w:firstLineChars="200"/>
        <w:jc w:val="both"/>
        <w:textAlignment w:val="auto"/>
        <w:rPr>
          <w:rFonts w:hint="eastAsia" w:ascii="宋体" w:hAnsi="宋体" w:eastAsia="宋体" w:cs="宋体"/>
          <w:highlight w:val="none"/>
        </w:rPr>
      </w:pPr>
      <w:r>
        <w:rPr>
          <w:rFonts w:hint="eastAsia" w:ascii="宋体" w:hAnsi="宋体" w:eastAsia="宋体" w:cs="宋体"/>
          <w:spacing w:val="-5"/>
          <w:highlight w:val="none"/>
        </w:rPr>
        <w:t>公司始终坚持及时向债权人通报与其债权权益相关的重大信息，配合债权人</w:t>
      </w:r>
      <w:r>
        <w:rPr>
          <w:rFonts w:hint="eastAsia" w:ascii="宋体" w:hAnsi="宋体" w:eastAsia="宋体" w:cs="宋体"/>
          <w:spacing w:val="-8"/>
          <w:highlight w:val="none"/>
        </w:rPr>
        <w:t>了解公司有关财务、经营和管理等情况，进一步加强投资者关系管理工作。针对</w:t>
      </w:r>
      <w:r>
        <w:rPr>
          <w:rFonts w:hint="eastAsia" w:ascii="宋体" w:hAnsi="宋体" w:eastAsia="宋体" w:cs="宋体"/>
          <w:spacing w:val="-6"/>
          <w:highlight w:val="none"/>
        </w:rPr>
        <w:t>投资者关系管理中存在的薄弱环节，公司丰富和完善了公司的网站功能，建立网</w:t>
      </w:r>
      <w:r>
        <w:rPr>
          <w:rFonts w:hint="eastAsia" w:ascii="宋体" w:hAnsi="宋体" w:eastAsia="宋体" w:cs="宋体"/>
          <w:spacing w:val="-20"/>
          <w:highlight w:val="none"/>
        </w:rPr>
        <w:t xml:space="preserve">络、电话、邮件等多方位的沟通渠道，通过充分的信息披露加强与投资者的沟通， </w:t>
      </w:r>
      <w:r>
        <w:rPr>
          <w:rFonts w:hint="eastAsia" w:ascii="宋体" w:hAnsi="宋体" w:eastAsia="宋体" w:cs="宋体"/>
          <w:spacing w:val="-8"/>
          <w:highlight w:val="none"/>
        </w:rPr>
        <w:t>促进投资者对公司的了解和认同，树立公司良好的市场形象与投资者营造良好的</w:t>
      </w:r>
      <w:r>
        <w:rPr>
          <w:rFonts w:hint="eastAsia" w:ascii="宋体" w:hAnsi="宋体" w:eastAsia="宋体" w:cs="宋体"/>
          <w:highlight w:val="none"/>
        </w:rPr>
        <w:t>内外沟通运行环境，保证投资者关系的健康、融洽发展。</w:t>
      </w:r>
    </w:p>
    <w:p w14:paraId="354FFDFC">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sz w:val="32"/>
          <w:szCs w:val="32"/>
          <w:highlight w:val="none"/>
        </w:rPr>
      </w:pPr>
      <w:bookmarkStart w:id="10" w:name="五、服务客户"/>
      <w:bookmarkEnd w:id="10"/>
      <w:bookmarkStart w:id="11" w:name="_Toc24531709"/>
      <w:r>
        <w:rPr>
          <w:rFonts w:hint="eastAsia" w:ascii="宋体" w:hAnsi="宋体" w:eastAsia="宋体" w:cs="宋体"/>
          <w:b/>
          <w:bCs/>
          <w:sz w:val="32"/>
          <w:szCs w:val="32"/>
          <w:highlight w:val="none"/>
        </w:rPr>
        <w:t>五、服务客户</w:t>
      </w:r>
      <w:bookmarkEnd w:id="11"/>
    </w:p>
    <w:p w14:paraId="736B97E4">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textAlignment w:val="auto"/>
        <w:rPr>
          <w:rFonts w:hint="eastAsia" w:ascii="宋体" w:hAnsi="宋体" w:eastAsia="宋体" w:cs="宋体"/>
          <w:highlight w:val="none"/>
        </w:rPr>
      </w:pPr>
      <w:r>
        <w:rPr>
          <w:rFonts w:hint="eastAsia" w:ascii="宋体" w:hAnsi="宋体" w:eastAsia="宋体" w:cs="宋体"/>
          <w:highlight w:val="none"/>
        </w:rPr>
        <w:t>很多客户对企业的评价当中相当多的原因不是由于产品质量服务等实质性</w:t>
      </w:r>
      <w:r>
        <w:rPr>
          <w:rFonts w:hint="eastAsia" w:ascii="宋体" w:hAnsi="宋体" w:eastAsia="宋体" w:cs="宋体"/>
          <w:spacing w:val="-10"/>
          <w:highlight w:val="none"/>
        </w:rPr>
        <w:t>问题，而是企业与客户之间的沟通不够。因此，与客户保持沟通、特别是高层的</w:t>
      </w:r>
      <w:r>
        <w:rPr>
          <w:rFonts w:hint="eastAsia" w:ascii="宋体" w:hAnsi="宋体" w:eastAsia="宋体" w:cs="宋体"/>
          <w:spacing w:val="-9"/>
          <w:highlight w:val="none"/>
        </w:rPr>
        <w:t>沟通渠道畅通是非常重要的，只有产品质量与服务质量双重保障才能获得客户的最终满意和认可。公司确立</w:t>
      </w:r>
      <w:r>
        <w:rPr>
          <w:rFonts w:hint="eastAsia" w:ascii="宋体" w:hAnsi="宋体" w:eastAsia="宋体" w:cs="宋体"/>
          <w:spacing w:val="-8"/>
          <w:highlight w:val="none"/>
        </w:rPr>
        <w:t>以市场为中心、以客户需求为重点的服务理念，</w:t>
      </w:r>
      <w:r>
        <w:rPr>
          <w:rFonts w:hint="eastAsia" w:ascii="宋体" w:hAnsi="宋体" w:eastAsia="宋体" w:cs="宋体"/>
          <w:spacing w:val="-21"/>
          <w:highlight w:val="none"/>
        </w:rPr>
        <w:t xml:space="preserve">不断优化服务流程，提升服务理念， </w:t>
      </w:r>
      <w:r>
        <w:rPr>
          <w:rFonts w:hint="eastAsia" w:ascii="宋体" w:hAnsi="宋体" w:eastAsia="宋体" w:cs="宋体"/>
          <w:spacing w:val="-10"/>
          <w:highlight w:val="none"/>
        </w:rPr>
        <w:t>强化服务质量，急客户之所急，想客户之所想，在初期的工作中得到了客户的充</w:t>
      </w:r>
      <w:r>
        <w:rPr>
          <w:rFonts w:hint="eastAsia" w:ascii="宋体" w:hAnsi="宋体" w:eastAsia="宋体" w:cs="宋体"/>
          <w:highlight w:val="none"/>
        </w:rPr>
        <w:t>分肯定。</w:t>
      </w:r>
    </w:p>
    <w:p w14:paraId="27BD97BE">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sz w:val="32"/>
          <w:szCs w:val="32"/>
          <w:highlight w:val="none"/>
        </w:rPr>
      </w:pPr>
      <w:bookmarkStart w:id="12" w:name="六、造福员工"/>
      <w:bookmarkEnd w:id="12"/>
      <w:bookmarkStart w:id="13" w:name="_Toc24531710"/>
      <w:r>
        <w:rPr>
          <w:rFonts w:hint="eastAsia" w:ascii="宋体" w:hAnsi="宋体" w:eastAsia="宋体" w:cs="宋体"/>
          <w:b/>
          <w:bCs/>
          <w:sz w:val="32"/>
          <w:szCs w:val="32"/>
          <w:highlight w:val="none"/>
        </w:rPr>
        <w:t>六、造福员工</w:t>
      </w:r>
      <w:bookmarkEnd w:id="13"/>
    </w:p>
    <w:p w14:paraId="17757C4E">
      <w:pPr>
        <w:pStyle w:val="5"/>
        <w:keepNext w:val="0"/>
        <w:keepLines w:val="0"/>
        <w:pageBreakBefore w:val="0"/>
        <w:kinsoku/>
        <w:wordWrap/>
        <w:overflowPunct/>
        <w:topLinePunct w:val="0"/>
        <w:autoSpaceDE w:val="0"/>
        <w:autoSpaceDN w:val="0"/>
        <w:bidi w:val="0"/>
        <w:adjustRightInd/>
        <w:spacing w:line="360" w:lineRule="auto"/>
        <w:ind w:left="0" w:right="0" w:firstLine="440" w:firstLineChars="200"/>
        <w:textAlignment w:val="auto"/>
        <w:rPr>
          <w:rFonts w:hint="eastAsia" w:ascii="宋体" w:hAnsi="宋体" w:eastAsia="宋体" w:cs="宋体"/>
          <w:highlight w:val="none"/>
        </w:rPr>
      </w:pPr>
      <w:r>
        <w:rPr>
          <w:rFonts w:hint="eastAsia" w:ascii="宋体" w:hAnsi="宋体" w:eastAsia="宋体" w:cs="宋体"/>
          <w:spacing w:val="-10"/>
          <w:highlight w:val="none"/>
        </w:rPr>
        <w:t>公司着力构建“</w:t>
      </w:r>
      <w:r>
        <w:rPr>
          <w:rFonts w:hint="eastAsia" w:ascii="宋体" w:hAnsi="宋体" w:eastAsia="宋体" w:cs="宋体"/>
          <w:spacing w:val="-10"/>
          <w:highlight w:val="none"/>
          <w:lang w:val="en-US" w:eastAsia="zh-CN"/>
        </w:rPr>
        <w:t>求真、务实、团结、奋进</w:t>
      </w:r>
      <w:r>
        <w:rPr>
          <w:rFonts w:hint="eastAsia" w:ascii="宋体" w:hAnsi="宋体" w:eastAsia="宋体" w:cs="宋体"/>
          <w:spacing w:val="-10"/>
          <w:highlight w:val="none"/>
        </w:rPr>
        <w:t>”的</w:t>
      </w:r>
      <w:r>
        <w:rPr>
          <w:rFonts w:hint="eastAsia" w:ascii="宋体" w:hAnsi="宋体" w:eastAsia="宋体" w:cs="宋体"/>
          <w:highlight w:val="none"/>
        </w:rPr>
        <w:t>企业文化，不断提升企业的软实力，让员工有尊严地工作和生活。</w:t>
      </w:r>
    </w:p>
    <w:p w14:paraId="1266E76B">
      <w:pPr>
        <w:pStyle w:val="15"/>
        <w:keepNext w:val="0"/>
        <w:keepLines w:val="0"/>
        <w:pageBreakBefore w:val="0"/>
        <w:numPr>
          <w:ilvl w:val="1"/>
          <w:numId w:val="6"/>
        </w:numPr>
        <w:tabs>
          <w:tab w:val="left" w:pos="540"/>
        </w:tabs>
        <w:kinsoku/>
        <w:wordWrap/>
        <w:overflowPunct/>
        <w:topLinePunct w:val="0"/>
        <w:autoSpaceDE w:val="0"/>
        <w:autoSpaceDN w:val="0"/>
        <w:bidi w:val="0"/>
        <w:adjustRightInd/>
        <w:spacing w:before="0" w:line="360" w:lineRule="auto"/>
        <w:ind w:left="0" w:right="0" w:firstLine="0" w:firstLineChars="0"/>
        <w:jc w:val="both"/>
        <w:textAlignment w:val="auto"/>
        <w:rPr>
          <w:rFonts w:hint="eastAsia" w:ascii="宋体" w:hAnsi="宋体" w:eastAsia="宋体" w:cs="宋体"/>
          <w:sz w:val="24"/>
          <w:highlight w:val="none"/>
        </w:rPr>
      </w:pPr>
      <w:r>
        <w:rPr>
          <w:rFonts w:hint="eastAsia" w:ascii="宋体" w:hAnsi="宋体" w:eastAsia="宋体" w:cs="宋体"/>
          <w:sz w:val="24"/>
          <w:highlight w:val="none"/>
        </w:rPr>
        <w:t>确保员工权益</w:t>
      </w:r>
    </w:p>
    <w:p w14:paraId="04B07D0E">
      <w:pPr>
        <w:pStyle w:val="5"/>
        <w:keepNext w:val="0"/>
        <w:keepLines w:val="0"/>
        <w:pageBreakBefore w:val="0"/>
        <w:kinsoku/>
        <w:wordWrap/>
        <w:overflowPunct/>
        <w:topLinePunct w:val="0"/>
        <w:autoSpaceDE w:val="0"/>
        <w:autoSpaceDN w:val="0"/>
        <w:bidi w:val="0"/>
        <w:adjustRightInd/>
        <w:spacing w:line="360" w:lineRule="auto"/>
        <w:ind w:left="0" w:right="0" w:firstLine="452" w:firstLineChars="200"/>
        <w:jc w:val="both"/>
        <w:textAlignment w:val="auto"/>
        <w:rPr>
          <w:rFonts w:hint="eastAsia" w:ascii="宋体" w:hAnsi="宋体" w:eastAsia="宋体" w:cs="宋体"/>
          <w:highlight w:val="none"/>
        </w:rPr>
      </w:pPr>
      <w:r>
        <w:rPr>
          <w:rFonts w:hint="eastAsia" w:ascii="宋体" w:hAnsi="宋体" w:eastAsia="宋体" w:cs="宋体"/>
          <w:spacing w:val="-7"/>
          <w:highlight w:val="none"/>
        </w:rPr>
        <w:t>在全球经济形势不稳定、变化多变的影响下，在公司身处逆境的时候，如何处理好职工利益和公司的利益关系，稳定队伍，凝聚人心，储备人才，是摆在公司管理层面前一个重要难题。员工是企业最宝贵的财富，企业的发展离不开员工</w:t>
      </w:r>
      <w:r>
        <w:rPr>
          <w:rFonts w:hint="eastAsia" w:ascii="宋体" w:hAnsi="宋体" w:eastAsia="宋体" w:cs="宋体"/>
          <w:spacing w:val="-21"/>
          <w:highlight w:val="none"/>
        </w:rPr>
        <w:t xml:space="preserve">的辛勤劳动，公司始终秉承企业与员工“共赢发展”的理念，在企业发展的同时， </w:t>
      </w:r>
      <w:r>
        <w:rPr>
          <w:rFonts w:hint="eastAsia" w:ascii="宋体" w:hAnsi="宋体" w:eastAsia="宋体" w:cs="宋体"/>
          <w:spacing w:val="-8"/>
          <w:highlight w:val="none"/>
        </w:rPr>
        <w:t>没有忘记对员工的回报，并致力于提高和改善员工的工作环境，职业发展平台以</w:t>
      </w:r>
      <w:r>
        <w:rPr>
          <w:rFonts w:hint="eastAsia" w:ascii="宋体" w:hAnsi="宋体" w:eastAsia="宋体" w:cs="宋体"/>
          <w:highlight w:val="none"/>
        </w:rPr>
        <w:t>及合适的收入。</w:t>
      </w:r>
    </w:p>
    <w:p w14:paraId="722E5F55">
      <w:pPr>
        <w:pStyle w:val="5"/>
        <w:keepNext w:val="0"/>
        <w:keepLines w:val="0"/>
        <w:pageBreakBefore w:val="0"/>
        <w:kinsoku/>
        <w:wordWrap/>
        <w:overflowPunct/>
        <w:topLinePunct w:val="0"/>
        <w:autoSpaceDE w:val="0"/>
        <w:autoSpaceDN w:val="0"/>
        <w:bidi w:val="0"/>
        <w:adjustRightInd/>
        <w:spacing w:line="360" w:lineRule="auto"/>
        <w:ind w:left="0" w:right="0" w:firstLine="456" w:firstLineChars="200"/>
        <w:textAlignment w:val="auto"/>
        <w:rPr>
          <w:rFonts w:hint="eastAsia" w:ascii="宋体" w:hAnsi="宋体" w:eastAsia="宋体" w:cs="宋体"/>
          <w:highlight w:val="none"/>
        </w:rPr>
      </w:pPr>
      <w:r>
        <w:rPr>
          <w:rFonts w:hint="eastAsia" w:ascii="宋体" w:hAnsi="宋体" w:eastAsia="宋体" w:cs="宋体"/>
          <w:spacing w:val="-6"/>
          <w:highlight w:val="none"/>
        </w:rPr>
        <w:t>当前制造行业市场不景气，需求总量大幅减少，企业订单大幅下滑，严峻的</w:t>
      </w:r>
      <w:r>
        <w:rPr>
          <w:rFonts w:hint="eastAsia" w:ascii="宋体" w:hAnsi="宋体" w:eastAsia="宋体" w:cs="宋体"/>
          <w:spacing w:val="-11"/>
          <w:highlight w:val="none"/>
        </w:rPr>
        <w:t>经济环境给企业的生存带来了巨大压力，公司现有的人力资源素质和结构与经营</w:t>
      </w:r>
      <w:r>
        <w:rPr>
          <w:rFonts w:hint="eastAsia" w:ascii="宋体" w:hAnsi="宋体" w:eastAsia="宋体" w:cs="宋体"/>
          <w:spacing w:val="-12"/>
          <w:highlight w:val="none"/>
        </w:rPr>
        <w:t>规模失调，更与公司转型新模式的要求不匹配。在此情况下，企业不得不进行结构调整，优化人力资源结构，推行减员增效。并采取多种方式竞争上岗。对于年</w:t>
      </w:r>
      <w:r>
        <w:rPr>
          <w:rFonts w:hint="eastAsia" w:ascii="宋体" w:hAnsi="宋体" w:eastAsia="宋体" w:cs="宋体"/>
          <w:spacing w:val="-15"/>
          <w:highlight w:val="none"/>
        </w:rPr>
        <w:t>纪大的员工企业不是简单的将其推向社会，而是尽最大的能力提高内退标准，企</w:t>
      </w:r>
      <w:r>
        <w:rPr>
          <w:rFonts w:hint="eastAsia" w:ascii="宋体" w:hAnsi="宋体" w:eastAsia="宋体" w:cs="宋体"/>
          <w:spacing w:val="-19"/>
          <w:highlight w:val="none"/>
        </w:rPr>
        <w:t>业内退员工工资标准高于行业和地区的标准，能够满足内退人员的基本生活保障。</w:t>
      </w:r>
      <w:r>
        <w:rPr>
          <w:rFonts w:hint="eastAsia" w:ascii="宋体" w:hAnsi="宋体" w:eastAsia="宋体" w:cs="宋体"/>
          <w:highlight w:val="none"/>
        </w:rPr>
        <w:t>公司在减员增效过程中，未发生任何影响企业稳定、社会稳定的不良事件。</w:t>
      </w:r>
    </w:p>
    <w:p w14:paraId="130709B8">
      <w:pPr>
        <w:pStyle w:val="15"/>
        <w:keepNext w:val="0"/>
        <w:keepLines w:val="0"/>
        <w:pageBreakBefore w:val="0"/>
        <w:numPr>
          <w:ilvl w:val="1"/>
          <w:numId w:val="6"/>
        </w:numPr>
        <w:tabs>
          <w:tab w:val="left" w:pos="540"/>
        </w:tabs>
        <w:kinsoku/>
        <w:wordWrap/>
        <w:overflowPunct/>
        <w:topLinePunct w:val="0"/>
        <w:autoSpaceDE w:val="0"/>
        <w:autoSpaceDN w:val="0"/>
        <w:bidi w:val="0"/>
        <w:adjustRightInd/>
        <w:spacing w:before="0"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重视职业健康安全</w:t>
      </w:r>
    </w:p>
    <w:p w14:paraId="1FFC7196">
      <w:pPr>
        <w:pStyle w:val="5"/>
        <w:keepNext w:val="0"/>
        <w:keepLines w:val="0"/>
        <w:pageBreakBefore w:val="0"/>
        <w:kinsoku/>
        <w:wordWrap/>
        <w:overflowPunct/>
        <w:topLinePunct w:val="0"/>
        <w:autoSpaceDE w:val="0"/>
        <w:autoSpaceDN w:val="0"/>
        <w:bidi w:val="0"/>
        <w:adjustRightInd/>
        <w:spacing w:line="360" w:lineRule="auto"/>
        <w:ind w:left="0" w:right="0" w:firstLine="396" w:firstLineChars="200"/>
        <w:textAlignment w:val="auto"/>
        <w:rPr>
          <w:rFonts w:hint="eastAsia" w:ascii="宋体" w:hAnsi="宋体" w:eastAsia="宋体" w:cs="宋体"/>
          <w:highlight w:val="none"/>
        </w:rPr>
      </w:pPr>
      <w:r>
        <w:rPr>
          <w:rFonts w:hint="eastAsia" w:ascii="宋体" w:hAnsi="宋体" w:eastAsia="宋体" w:cs="宋体"/>
          <w:spacing w:val="-21"/>
          <w:highlight w:val="none"/>
        </w:rPr>
        <w:t>公司始终坚</w:t>
      </w:r>
      <w:r>
        <w:rPr>
          <w:rFonts w:hint="eastAsia" w:ascii="宋体" w:hAnsi="宋体" w:eastAsia="宋体" w:cs="宋体"/>
          <w:spacing w:val="-15"/>
          <w:highlight w:val="none"/>
        </w:rPr>
        <w:t>持“安全</w:t>
      </w:r>
      <w:r>
        <w:rPr>
          <w:rFonts w:hint="eastAsia" w:ascii="宋体" w:hAnsi="宋体" w:eastAsia="宋体" w:cs="宋体"/>
          <w:spacing w:val="-15"/>
          <w:highlight w:val="none"/>
          <w:lang w:val="en-US" w:eastAsia="zh-CN"/>
        </w:rPr>
        <w:t>就是效益、平安就是幸福</w:t>
      </w:r>
      <w:r>
        <w:rPr>
          <w:rFonts w:hint="eastAsia" w:ascii="宋体" w:hAnsi="宋体" w:eastAsia="宋体" w:cs="宋体"/>
          <w:spacing w:val="-15"/>
          <w:highlight w:val="none"/>
        </w:rPr>
        <w:t>”的</w:t>
      </w:r>
      <w:r>
        <w:rPr>
          <w:rFonts w:hint="eastAsia" w:ascii="宋体" w:hAnsi="宋体" w:eastAsia="宋体" w:cs="宋体"/>
          <w:spacing w:val="-15"/>
          <w:highlight w:val="none"/>
          <w:lang w:val="en-US" w:eastAsia="zh-CN"/>
        </w:rPr>
        <w:t>理念</w:t>
      </w:r>
      <w:r>
        <w:rPr>
          <w:rFonts w:hint="eastAsia" w:ascii="宋体" w:hAnsi="宋体" w:eastAsia="宋体" w:cs="宋体"/>
          <w:spacing w:val="-15"/>
          <w:highlight w:val="none"/>
        </w:rPr>
        <w:t xml:space="preserve">，以超前预防作为安全工作的核心，以安全生产责任制为重点，以安全评价、考核、责任追究和过程动态控制为手段， </w:t>
      </w:r>
      <w:r>
        <w:rPr>
          <w:rFonts w:hint="eastAsia" w:ascii="宋体" w:hAnsi="宋体" w:eastAsia="宋体" w:cs="宋体"/>
          <w:spacing w:val="-1"/>
          <w:highlight w:val="none"/>
        </w:rPr>
        <w:t>以安全教育培训为保障，以安全生产标准化为主体，建立安全生产的长效机制。</w:t>
      </w:r>
    </w:p>
    <w:p w14:paraId="2F891FF6">
      <w:pPr>
        <w:pStyle w:val="5"/>
        <w:keepNext w:val="0"/>
        <w:keepLines w:val="0"/>
        <w:pageBreakBefore w:val="0"/>
        <w:kinsoku/>
        <w:wordWrap/>
        <w:overflowPunct/>
        <w:topLinePunct w:val="0"/>
        <w:autoSpaceDE w:val="0"/>
        <w:autoSpaceDN w:val="0"/>
        <w:bidi w:val="0"/>
        <w:adjustRightInd/>
        <w:spacing w:line="360" w:lineRule="auto"/>
        <w:ind w:left="0" w:right="0" w:firstLine="436" w:firstLineChars="200"/>
        <w:jc w:val="both"/>
        <w:textAlignment w:val="auto"/>
        <w:rPr>
          <w:rFonts w:hint="eastAsia" w:ascii="宋体" w:hAnsi="宋体" w:eastAsia="宋体" w:cs="宋体"/>
          <w:spacing w:val="-4"/>
          <w:highlight w:val="none"/>
        </w:rPr>
      </w:pPr>
      <w:r>
        <w:rPr>
          <w:rFonts w:hint="eastAsia" w:ascii="宋体" w:hAnsi="宋体" w:eastAsia="宋体" w:cs="宋体"/>
          <w:spacing w:val="-11"/>
          <w:highlight w:val="none"/>
        </w:rPr>
        <w:t>公司十分重视、关爱员工的健康，除了按照国家及地方有关社会保险方面的</w:t>
      </w:r>
      <w:r>
        <w:rPr>
          <w:rFonts w:hint="eastAsia" w:ascii="宋体" w:hAnsi="宋体" w:eastAsia="宋体" w:cs="宋体"/>
          <w:spacing w:val="-22"/>
          <w:highlight w:val="none"/>
        </w:rPr>
        <w:t>法律、法规参加社会养老保险、基本医疗保险、工伤保险、生育险等社会保险，</w:t>
      </w:r>
      <w:r>
        <w:rPr>
          <w:rFonts w:hint="eastAsia" w:ascii="宋体" w:hAnsi="宋体" w:eastAsia="宋体" w:cs="宋体"/>
          <w:spacing w:val="-4"/>
          <w:highlight w:val="none"/>
        </w:rPr>
        <w:t>让职工更多的享受医疗保障，适度减轻个人住院费用负担、解决特殊工种岗位疾病导致的经济损失、补偿经常出差在外职工疾病、意外伤害和乘坐交通工具所引发的风险带来的损失，尽力完善员工的保障范围，免除员工的后顾之忧。</w:t>
      </w:r>
    </w:p>
    <w:p w14:paraId="6F07EC9F">
      <w:pPr>
        <w:pStyle w:val="5"/>
        <w:keepNext w:val="0"/>
        <w:keepLines w:val="0"/>
        <w:pageBreakBefore w:val="0"/>
        <w:kinsoku/>
        <w:wordWrap/>
        <w:overflowPunct/>
        <w:topLinePunct w:val="0"/>
        <w:autoSpaceDE w:val="0"/>
        <w:autoSpaceDN w:val="0"/>
        <w:bidi w:val="0"/>
        <w:adjustRightInd/>
        <w:spacing w:line="360" w:lineRule="auto"/>
        <w:ind w:left="0" w:right="0" w:firstLine="464" w:firstLineChars="200"/>
        <w:jc w:val="both"/>
        <w:textAlignment w:val="auto"/>
        <w:rPr>
          <w:rFonts w:hint="eastAsia" w:ascii="宋体" w:hAnsi="宋体" w:eastAsia="宋体" w:cs="宋体"/>
          <w:highlight w:val="none"/>
        </w:rPr>
      </w:pPr>
      <w:r>
        <w:rPr>
          <w:rFonts w:hint="eastAsia" w:ascii="宋体" w:hAnsi="宋体" w:eastAsia="宋体" w:cs="宋体"/>
          <w:spacing w:val="-4"/>
          <w:highlight w:val="none"/>
        </w:rPr>
        <w:t>公司也十分重视职工群众的身心健康，内部成立的各类文娱小组，积极开展活</w:t>
      </w:r>
      <w:r>
        <w:rPr>
          <w:rFonts w:hint="eastAsia" w:ascii="宋体" w:hAnsi="宋体" w:eastAsia="宋体" w:cs="宋体"/>
          <w:spacing w:val="-21"/>
          <w:highlight w:val="none"/>
        </w:rPr>
        <w:t xml:space="preserve">动，并组织了包括篮球、羽毛球等多场比赛。职工可以根据自己的爱好特长和情趣， </w:t>
      </w:r>
      <w:r>
        <w:rPr>
          <w:rFonts w:hint="eastAsia" w:ascii="宋体" w:hAnsi="宋体" w:eastAsia="宋体" w:cs="宋体"/>
          <w:spacing w:val="-7"/>
          <w:highlight w:val="none"/>
        </w:rPr>
        <w:t>展示自己的才华，提升品味，充实精神生活，既活跃了职工的精神生活，也增强了企业的向心力和凝聚力。</w:t>
      </w:r>
    </w:p>
    <w:p w14:paraId="29FD50F0">
      <w:pPr>
        <w:pStyle w:val="15"/>
        <w:keepNext w:val="0"/>
        <w:keepLines w:val="0"/>
        <w:pageBreakBefore w:val="0"/>
        <w:numPr>
          <w:ilvl w:val="1"/>
          <w:numId w:val="6"/>
        </w:numPr>
        <w:tabs>
          <w:tab w:val="left" w:pos="540"/>
        </w:tabs>
        <w:kinsoku/>
        <w:wordWrap/>
        <w:overflowPunct/>
        <w:topLinePunct w:val="0"/>
        <w:autoSpaceDE w:val="0"/>
        <w:autoSpaceDN w:val="0"/>
        <w:bidi w:val="0"/>
        <w:adjustRightInd/>
        <w:spacing w:before="0"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拓展员工职业成长</w:t>
      </w:r>
    </w:p>
    <w:p w14:paraId="43F8368F">
      <w:pPr>
        <w:pStyle w:val="5"/>
        <w:keepNext w:val="0"/>
        <w:keepLines w:val="0"/>
        <w:pageBreakBefore w:val="0"/>
        <w:kinsoku/>
        <w:wordWrap/>
        <w:overflowPunct/>
        <w:topLinePunct w:val="0"/>
        <w:autoSpaceDE w:val="0"/>
        <w:autoSpaceDN w:val="0"/>
        <w:bidi w:val="0"/>
        <w:adjustRightInd/>
        <w:spacing w:line="360" w:lineRule="auto"/>
        <w:ind w:left="0" w:right="0" w:firstLine="464" w:firstLineChars="200"/>
        <w:jc w:val="both"/>
        <w:textAlignment w:val="auto"/>
        <w:rPr>
          <w:rFonts w:hint="eastAsia" w:ascii="宋体" w:hAnsi="宋体" w:eastAsia="宋体" w:cs="宋体"/>
          <w:highlight w:val="none"/>
        </w:rPr>
      </w:pPr>
      <w:r>
        <w:rPr>
          <w:rFonts w:hint="eastAsia" w:ascii="宋体" w:hAnsi="宋体" w:eastAsia="宋体" w:cs="宋体"/>
          <w:spacing w:val="-4"/>
          <w:highlight w:val="none"/>
        </w:rPr>
        <w:t>随着公司产品结构优化调整步伐加快以及尽快提高公司技术创新能力，适应</w:t>
      </w:r>
      <w:r>
        <w:rPr>
          <w:rFonts w:hint="eastAsia" w:ascii="宋体" w:hAnsi="宋体" w:eastAsia="宋体" w:cs="宋体"/>
          <w:spacing w:val="-10"/>
          <w:highlight w:val="none"/>
        </w:rPr>
        <w:t>市场对科技人才的需求，现有技术人员资源已不能满足公司发展的需要，为保证</w:t>
      </w:r>
      <w:r>
        <w:rPr>
          <w:rFonts w:hint="eastAsia" w:ascii="宋体" w:hAnsi="宋体" w:eastAsia="宋体" w:cs="宋体"/>
          <w:spacing w:val="-13"/>
          <w:highlight w:val="none"/>
        </w:rPr>
        <w:t>公司各技术岗位能够及时有效地补充所需的优秀人才，适时、适度、适量地招收</w:t>
      </w:r>
      <w:r>
        <w:rPr>
          <w:rFonts w:hint="eastAsia" w:ascii="宋体" w:hAnsi="宋体" w:eastAsia="宋体" w:cs="宋体"/>
          <w:spacing w:val="-17"/>
          <w:highlight w:val="none"/>
        </w:rPr>
        <w:t>一批不同地区不同学校的优秀应届毕业生，并加以培养，使其尽快胜任工作，解决公司现有人力资源不足，改善公司人才结构，提高公司人才创新能力。</w:t>
      </w:r>
    </w:p>
    <w:p w14:paraId="5E334751">
      <w:pPr>
        <w:pStyle w:val="5"/>
        <w:keepNext w:val="0"/>
        <w:keepLines w:val="0"/>
        <w:pageBreakBefore w:val="0"/>
        <w:kinsoku/>
        <w:wordWrap/>
        <w:overflowPunct/>
        <w:topLinePunct w:val="0"/>
        <w:autoSpaceDE w:val="0"/>
        <w:autoSpaceDN w:val="0"/>
        <w:bidi w:val="0"/>
        <w:adjustRightInd/>
        <w:spacing w:line="360" w:lineRule="auto"/>
        <w:ind w:left="0" w:right="0" w:firstLine="456" w:firstLineChars="200"/>
        <w:textAlignment w:val="auto"/>
        <w:rPr>
          <w:rFonts w:hint="eastAsia" w:ascii="宋体" w:hAnsi="宋体" w:eastAsia="宋体" w:cs="宋体"/>
          <w:highlight w:val="none"/>
        </w:rPr>
      </w:pPr>
      <w:r>
        <w:rPr>
          <w:rFonts w:hint="eastAsia" w:ascii="宋体" w:hAnsi="宋体" w:eastAsia="宋体" w:cs="宋体"/>
          <w:spacing w:val="-6"/>
          <w:highlight w:val="none"/>
        </w:rPr>
        <w:t>公司在招聘引进人才的同时，注重人才培养措施，根据公司发展的需要和稳</w:t>
      </w:r>
      <w:r>
        <w:rPr>
          <w:rFonts w:hint="eastAsia" w:ascii="宋体" w:hAnsi="宋体" w:eastAsia="宋体" w:cs="宋体"/>
          <w:spacing w:val="-12"/>
          <w:highlight w:val="none"/>
        </w:rPr>
        <w:t>定人才的工作实际，建立技术、管理、技能人才骨干队伍，争取逐步形成结构合</w:t>
      </w:r>
      <w:r>
        <w:rPr>
          <w:rFonts w:hint="eastAsia" w:ascii="宋体" w:hAnsi="宋体" w:eastAsia="宋体" w:cs="宋体"/>
          <w:spacing w:val="-11"/>
          <w:highlight w:val="none"/>
        </w:rPr>
        <w:t>理、高效精干的人才队伍群体，以满足公司参与市场竞争和追赶世界先进水平的</w:t>
      </w:r>
      <w:r>
        <w:rPr>
          <w:rFonts w:hint="eastAsia" w:ascii="宋体" w:hAnsi="宋体" w:eastAsia="宋体" w:cs="宋体"/>
          <w:spacing w:val="-20"/>
          <w:highlight w:val="none"/>
        </w:rPr>
        <w:t>需要。为此，企业制定了人才培养措施和人才培训计划，确立“</w:t>
      </w:r>
      <w:r>
        <w:rPr>
          <w:rFonts w:hint="eastAsia" w:ascii="宋体" w:hAnsi="宋体" w:eastAsia="宋体" w:cs="宋体"/>
          <w:spacing w:val="-20"/>
          <w:highlight w:val="none"/>
          <w:lang w:val="en-US" w:eastAsia="zh-CN"/>
        </w:rPr>
        <w:t>忠诚+自律+实干=人才</w:t>
      </w:r>
      <w:r>
        <w:rPr>
          <w:rFonts w:hint="eastAsia" w:ascii="宋体" w:hAnsi="宋体" w:eastAsia="宋体" w:cs="宋体"/>
          <w:spacing w:val="-20"/>
          <w:highlight w:val="none"/>
        </w:rPr>
        <w:t>”的理念，面向市场和研发，实施人力结构调整，着力建设后备人才库、</w:t>
      </w:r>
      <w:r>
        <w:rPr>
          <w:rFonts w:hint="eastAsia" w:ascii="宋体" w:hAnsi="宋体" w:eastAsia="宋体" w:cs="宋体"/>
          <w:spacing w:val="-8"/>
          <w:highlight w:val="none"/>
        </w:rPr>
        <w:t>开发分类课程、优化内部讲师队伍、打造校企合作基地、依托网络系统搭建</w:t>
      </w:r>
      <w:r>
        <w:rPr>
          <w:rFonts w:hint="eastAsia" w:cs="宋体"/>
          <w:spacing w:val="-8"/>
          <w:highlight w:val="none"/>
          <w:lang w:eastAsia="zh-CN"/>
        </w:rPr>
        <w:t>惠同</w:t>
      </w:r>
      <w:r>
        <w:rPr>
          <w:rFonts w:hint="eastAsia" w:ascii="宋体" w:hAnsi="宋体" w:eastAsia="宋体" w:cs="宋体"/>
          <w:spacing w:val="-12"/>
          <w:highlight w:val="none"/>
        </w:rPr>
        <w:t>网络学习平台，重点实施营销人才、核心管理人才、关键技术人才、重点高技</w:t>
      </w:r>
      <w:r>
        <w:rPr>
          <w:rFonts w:hint="eastAsia" w:ascii="宋体" w:hAnsi="宋体" w:eastAsia="宋体" w:cs="宋体"/>
          <w:spacing w:val="-11"/>
          <w:highlight w:val="none"/>
        </w:rPr>
        <w:t>能人才、班组长、三年以内新员工、第二能力开发等几大人才培育专项工程。这</w:t>
      </w:r>
      <w:r>
        <w:rPr>
          <w:rFonts w:hint="eastAsia" w:ascii="宋体" w:hAnsi="宋体" w:eastAsia="宋体" w:cs="宋体"/>
          <w:spacing w:val="-13"/>
          <w:highlight w:val="none"/>
        </w:rPr>
        <w:t>些措施计划，有利于增强人才队伍的责任感和使命感，强化企业荣誉感和忠诚教</w:t>
      </w:r>
      <w:r>
        <w:rPr>
          <w:rFonts w:hint="eastAsia" w:ascii="宋体" w:hAnsi="宋体" w:eastAsia="宋体" w:cs="宋体"/>
          <w:spacing w:val="-11"/>
          <w:highlight w:val="none"/>
        </w:rPr>
        <w:t>育度，提高人才队伍的工作主动性、创造紧迫性，这不仅是公司发展需要，也是</w:t>
      </w:r>
      <w:r>
        <w:rPr>
          <w:rFonts w:hint="eastAsia" w:ascii="宋体" w:hAnsi="宋体" w:eastAsia="宋体" w:cs="宋体"/>
          <w:spacing w:val="-15"/>
          <w:highlight w:val="none"/>
        </w:rPr>
        <w:t>国家建设制造强国的需要。公司不断完善用人机制，大力营造一个良好的施才环境，加大优秀人才的引进力度，以待遇吸引人，以事业留住人，以感情打动人。</w:t>
      </w:r>
      <w:r>
        <w:rPr>
          <w:rFonts w:hint="eastAsia" w:ascii="宋体" w:hAnsi="宋体" w:eastAsia="宋体" w:cs="宋体"/>
          <w:spacing w:val="-22"/>
          <w:highlight w:val="none"/>
        </w:rPr>
        <w:t>采取多种渠道发现、培养、造就人才，实施“走出去、引进来”两条腿走路方略， 促进人才队伍技术技能素质的迅速提升。</w:t>
      </w:r>
    </w:p>
    <w:p w14:paraId="1D876D9F">
      <w:pPr>
        <w:pStyle w:val="15"/>
        <w:keepNext w:val="0"/>
        <w:keepLines w:val="0"/>
        <w:pageBreakBefore w:val="0"/>
        <w:numPr>
          <w:ilvl w:val="1"/>
          <w:numId w:val="6"/>
        </w:numPr>
        <w:tabs>
          <w:tab w:val="left" w:pos="540"/>
        </w:tabs>
        <w:kinsoku/>
        <w:wordWrap/>
        <w:overflowPunct/>
        <w:topLinePunct w:val="0"/>
        <w:autoSpaceDE w:val="0"/>
        <w:autoSpaceDN w:val="0"/>
        <w:bidi w:val="0"/>
        <w:adjustRightInd/>
        <w:spacing w:before="0" w:line="360" w:lineRule="auto"/>
        <w:ind w:left="0" w:right="0" w:firstLine="0" w:firstLineChars="0"/>
        <w:textAlignment w:val="auto"/>
        <w:rPr>
          <w:rFonts w:hint="eastAsia" w:ascii="宋体" w:hAnsi="宋体" w:eastAsia="宋体" w:cs="宋体"/>
          <w:sz w:val="24"/>
          <w:highlight w:val="none"/>
        </w:rPr>
      </w:pPr>
      <w:r>
        <w:rPr>
          <w:rFonts w:hint="eastAsia" w:ascii="宋体" w:hAnsi="宋体" w:eastAsia="宋体" w:cs="宋体"/>
          <w:sz w:val="24"/>
          <w:highlight w:val="none"/>
        </w:rPr>
        <w:t>完善管理体制与软环境建设</w:t>
      </w:r>
    </w:p>
    <w:p w14:paraId="7A3CBF4E">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textAlignment w:val="auto"/>
        <w:rPr>
          <w:rFonts w:hint="eastAsia" w:ascii="宋体" w:hAnsi="宋体" w:eastAsia="宋体" w:cs="宋体"/>
          <w:highlight w:val="none"/>
        </w:rPr>
      </w:pPr>
      <w:r>
        <w:rPr>
          <w:rFonts w:hint="eastAsia" w:ascii="宋体" w:hAnsi="宋体" w:eastAsia="宋体" w:cs="宋体"/>
          <w:highlight w:val="none"/>
        </w:rPr>
        <w:t>公司建立了以人为本的人力资源开发和管理工作系统、激励机制和员工培训</w:t>
      </w:r>
    </w:p>
    <w:p w14:paraId="13EE3DF8">
      <w:pPr>
        <w:pStyle w:val="5"/>
        <w:keepNext w:val="0"/>
        <w:keepLines w:val="0"/>
        <w:pageBreakBefore w:val="0"/>
        <w:kinsoku/>
        <w:wordWrap/>
        <w:overflowPunct/>
        <w:topLinePunct w:val="0"/>
        <w:autoSpaceDE w:val="0"/>
        <w:autoSpaceDN w:val="0"/>
        <w:bidi w:val="0"/>
        <w:adjustRightInd/>
        <w:spacing w:line="360" w:lineRule="auto"/>
        <w:ind w:left="0" w:right="0" w:firstLine="0" w:firstLineChars="0"/>
        <w:textAlignment w:val="auto"/>
        <w:rPr>
          <w:rFonts w:hint="eastAsia" w:ascii="宋体" w:hAnsi="宋体" w:eastAsia="宋体" w:cs="宋体"/>
          <w:highlight w:val="none"/>
        </w:rPr>
      </w:pPr>
      <w:r>
        <w:rPr>
          <w:rFonts w:hint="eastAsia" w:ascii="宋体" w:hAnsi="宋体" w:eastAsia="宋体" w:cs="宋体"/>
          <w:spacing w:val="-1"/>
          <w:highlight w:val="none"/>
        </w:rPr>
        <w:t>与教育体系。公司始终坚持观念创新、制度创新的原则，创造一种公平、公正、</w:t>
      </w:r>
      <w:r>
        <w:rPr>
          <w:rFonts w:hint="eastAsia" w:ascii="宋体" w:hAnsi="宋体" w:eastAsia="宋体" w:cs="宋体"/>
          <w:spacing w:val="-9"/>
          <w:highlight w:val="none"/>
        </w:rPr>
        <w:t>公开的氛围，建立一套充分发挥个人潜能的机制，提供一个充分实现自我价值的</w:t>
      </w:r>
      <w:r>
        <w:rPr>
          <w:rFonts w:hint="eastAsia" w:ascii="宋体" w:hAnsi="宋体" w:eastAsia="宋体" w:cs="宋体"/>
          <w:spacing w:val="-11"/>
          <w:highlight w:val="none"/>
        </w:rPr>
        <w:t>发展空间。公司</w:t>
      </w:r>
      <w:r>
        <w:rPr>
          <w:rFonts w:hint="eastAsia" w:cs="宋体"/>
          <w:spacing w:val="-11"/>
          <w:highlight w:val="none"/>
          <w:lang w:val="en-US" w:eastAsia="zh-CN"/>
        </w:rPr>
        <w:t>行政部</w:t>
      </w:r>
      <w:r>
        <w:rPr>
          <w:rFonts w:hint="eastAsia" w:ascii="宋体" w:hAnsi="宋体" w:eastAsia="宋体" w:cs="宋体"/>
          <w:spacing w:val="-11"/>
          <w:highlight w:val="none"/>
        </w:rPr>
        <w:t>对各部门岗位进行普查，并进行关键岗位识别，加大</w:t>
      </w:r>
      <w:r>
        <w:rPr>
          <w:rFonts w:hint="eastAsia" w:ascii="宋体" w:hAnsi="宋体" w:eastAsia="宋体" w:cs="宋体"/>
          <w:spacing w:val="-21"/>
          <w:highlight w:val="none"/>
        </w:rPr>
        <w:t xml:space="preserve">对关键岗位的人力资源配置和管理，建设公司后备人才梯队，完善人才引入制度， </w:t>
      </w:r>
      <w:r>
        <w:rPr>
          <w:rFonts w:hint="eastAsia" w:ascii="宋体" w:hAnsi="宋体" w:eastAsia="宋体" w:cs="宋体"/>
          <w:highlight w:val="none"/>
        </w:rPr>
        <w:t>形成“能吸引、有门槛、留得住、有限制”的合理化人力资源管理。</w:t>
      </w:r>
    </w:p>
    <w:p w14:paraId="61087456">
      <w:pPr>
        <w:pStyle w:val="5"/>
        <w:keepNext w:val="0"/>
        <w:keepLines w:val="0"/>
        <w:pageBreakBefore w:val="0"/>
        <w:kinsoku/>
        <w:wordWrap/>
        <w:overflowPunct/>
        <w:topLinePunct w:val="0"/>
        <w:autoSpaceDE w:val="0"/>
        <w:autoSpaceDN w:val="0"/>
        <w:bidi w:val="0"/>
        <w:adjustRightInd/>
        <w:spacing w:line="360" w:lineRule="auto"/>
        <w:ind w:left="0" w:right="0" w:firstLine="456" w:firstLineChars="200"/>
        <w:jc w:val="both"/>
        <w:textAlignment w:val="auto"/>
        <w:rPr>
          <w:rFonts w:hint="eastAsia" w:ascii="宋体" w:hAnsi="宋体" w:eastAsia="宋体" w:cs="宋体"/>
          <w:highlight w:val="none"/>
        </w:rPr>
      </w:pPr>
      <w:r>
        <w:rPr>
          <w:rFonts w:hint="eastAsia" w:ascii="宋体" w:hAnsi="宋体" w:eastAsia="宋体" w:cs="宋体"/>
          <w:spacing w:val="-6"/>
          <w:highlight w:val="none"/>
        </w:rPr>
        <w:t>人才的培养离不开软环境和硬环境的建设，软环境方面，加强技术人员、管</w:t>
      </w:r>
      <w:r>
        <w:rPr>
          <w:rFonts w:hint="eastAsia" w:ascii="宋体" w:hAnsi="宋体" w:eastAsia="宋体" w:cs="宋体"/>
          <w:spacing w:val="-11"/>
          <w:highlight w:val="none"/>
        </w:rPr>
        <w:t>理人员、技术工人的团队建设，团队作为一个集体，是一个企业发展和竞争的核</w:t>
      </w:r>
      <w:r>
        <w:rPr>
          <w:rFonts w:hint="eastAsia" w:ascii="宋体" w:hAnsi="宋体" w:eastAsia="宋体" w:cs="宋体"/>
          <w:spacing w:val="-21"/>
          <w:highlight w:val="none"/>
        </w:rPr>
        <w:t xml:space="preserve">心力量，企业与企业之间的竞争，关键是团队与团队之间的竞争，通过领导协调， </w:t>
      </w:r>
      <w:r>
        <w:rPr>
          <w:rFonts w:hint="eastAsia" w:ascii="宋体" w:hAnsi="宋体" w:eastAsia="宋体" w:cs="宋体"/>
          <w:spacing w:val="-9"/>
          <w:highlight w:val="none"/>
        </w:rPr>
        <w:t>各团队分工合作，互敬、互爱、互助、互学，逐渐磨合，形成优势互补、取长补短，相互克服、相互激发，最终实现最高的工作效率。</w:t>
      </w:r>
    </w:p>
    <w:p w14:paraId="25B316F7">
      <w:pPr>
        <w:pStyle w:val="15"/>
        <w:keepNext w:val="0"/>
        <w:keepLines w:val="0"/>
        <w:pageBreakBefore w:val="0"/>
        <w:numPr>
          <w:ilvl w:val="1"/>
          <w:numId w:val="6"/>
        </w:numPr>
        <w:tabs>
          <w:tab w:val="left" w:pos="540"/>
        </w:tabs>
        <w:kinsoku/>
        <w:wordWrap/>
        <w:overflowPunct/>
        <w:topLinePunct w:val="0"/>
        <w:autoSpaceDE w:val="0"/>
        <w:autoSpaceDN w:val="0"/>
        <w:bidi w:val="0"/>
        <w:adjustRightInd/>
        <w:spacing w:before="0" w:line="360" w:lineRule="auto"/>
        <w:ind w:left="0" w:right="0" w:firstLine="0" w:firstLineChars="0"/>
        <w:jc w:val="both"/>
        <w:textAlignment w:val="auto"/>
        <w:rPr>
          <w:rFonts w:hint="eastAsia" w:ascii="宋体" w:hAnsi="宋体" w:eastAsia="宋体" w:cs="宋体"/>
          <w:sz w:val="24"/>
          <w:highlight w:val="none"/>
        </w:rPr>
      </w:pPr>
      <w:r>
        <w:rPr>
          <w:rFonts w:hint="eastAsia" w:ascii="宋体" w:hAnsi="宋体" w:eastAsia="宋体" w:cs="宋体"/>
          <w:sz w:val="24"/>
          <w:highlight w:val="none"/>
        </w:rPr>
        <w:t>构建祥和工作氛围</w:t>
      </w:r>
    </w:p>
    <w:p w14:paraId="113362D5">
      <w:pPr>
        <w:pStyle w:val="5"/>
        <w:keepNext w:val="0"/>
        <w:keepLines w:val="0"/>
        <w:pageBreakBefore w:val="0"/>
        <w:kinsoku/>
        <w:wordWrap/>
        <w:overflowPunct/>
        <w:topLinePunct w:val="0"/>
        <w:autoSpaceDE w:val="0"/>
        <w:autoSpaceDN w:val="0"/>
        <w:bidi w:val="0"/>
        <w:adjustRightInd/>
        <w:spacing w:line="360" w:lineRule="auto"/>
        <w:ind w:left="0" w:right="0" w:firstLine="456" w:firstLineChars="200"/>
        <w:textAlignment w:val="auto"/>
        <w:rPr>
          <w:rFonts w:hint="eastAsia" w:ascii="宋体" w:hAnsi="宋体" w:eastAsia="宋体" w:cs="宋体"/>
          <w:highlight w:val="none"/>
        </w:rPr>
      </w:pPr>
      <w:r>
        <w:rPr>
          <w:rFonts w:hint="eastAsia" w:ascii="宋体" w:hAnsi="宋体" w:eastAsia="宋体" w:cs="宋体"/>
          <w:spacing w:val="-6"/>
          <w:highlight w:val="none"/>
        </w:rPr>
        <w:t>公司十分注重调动全体员工的积极性，在推出与员工切身利益密切相关的政</w:t>
      </w:r>
      <w:r>
        <w:rPr>
          <w:rFonts w:hint="eastAsia" w:ascii="宋体" w:hAnsi="宋体" w:eastAsia="宋体" w:cs="宋体"/>
          <w:spacing w:val="-10"/>
          <w:highlight w:val="none"/>
        </w:rPr>
        <w:t>策、规定时，公司都通过座谈会、专题调研等形式，广泛听取意见。对</w:t>
      </w:r>
      <w:r>
        <w:rPr>
          <w:rFonts w:hint="eastAsia" w:ascii="宋体" w:hAnsi="宋体" w:eastAsia="宋体" w:cs="宋体"/>
          <w:spacing w:val="-14"/>
          <w:highlight w:val="none"/>
        </w:rPr>
        <w:t>职工反映的问题进行认真地调查并通过职工代表大会方式进行讨论、研究，给予解决和答复，使广大员工感受到自己是企业的主人，企业是自己的家。</w:t>
      </w:r>
      <w:r>
        <w:rPr>
          <w:rFonts w:hint="eastAsia" w:ascii="宋体" w:hAnsi="宋体" w:eastAsia="宋体" w:cs="宋体"/>
          <w:spacing w:val="-6"/>
          <w:highlight w:val="none"/>
        </w:rPr>
        <w:t>为使员工了解企业的经营情况、发展战略、改革措施等重大事项，搭建员工与高</w:t>
      </w:r>
      <w:r>
        <w:rPr>
          <w:rFonts w:hint="eastAsia" w:ascii="宋体" w:hAnsi="宋体" w:eastAsia="宋体" w:cs="宋体"/>
          <w:spacing w:val="-7"/>
          <w:highlight w:val="none"/>
        </w:rPr>
        <w:t xml:space="preserve">层管理人员的有效沟通平台和渠道。公司工会制定了员工定期座谈会管理办法， </w:t>
      </w:r>
      <w:r>
        <w:rPr>
          <w:rFonts w:hint="eastAsia" w:ascii="宋体" w:hAnsi="宋体" w:eastAsia="宋体" w:cs="宋体"/>
          <w:spacing w:val="-20"/>
          <w:highlight w:val="none"/>
        </w:rPr>
        <w:t>每月</w:t>
      </w:r>
      <w:r>
        <w:rPr>
          <w:rFonts w:hint="eastAsia" w:ascii="宋体" w:hAnsi="宋体" w:eastAsia="宋体" w:cs="宋体"/>
          <w:highlight w:val="none"/>
        </w:rPr>
        <w:t>有固定时间</w:t>
      </w:r>
      <w:r>
        <w:rPr>
          <w:rFonts w:hint="eastAsia" w:ascii="宋体" w:hAnsi="宋体" w:eastAsia="宋体" w:cs="宋体"/>
          <w:spacing w:val="-8"/>
          <w:highlight w:val="none"/>
        </w:rPr>
        <w:t>定为员工接待日，听取员工对公司发展过程中的意见和建议及员工最关心、最直接的问题和意见，解答员工的凝问。</w:t>
      </w:r>
    </w:p>
    <w:p w14:paraId="00FB3298">
      <w:pPr>
        <w:pStyle w:val="5"/>
        <w:keepNext w:val="0"/>
        <w:keepLines w:val="0"/>
        <w:pageBreakBefore w:val="0"/>
        <w:kinsoku/>
        <w:wordWrap/>
        <w:overflowPunct/>
        <w:topLinePunct w:val="0"/>
        <w:autoSpaceDE w:val="0"/>
        <w:autoSpaceDN w:val="0"/>
        <w:bidi w:val="0"/>
        <w:adjustRightInd/>
        <w:spacing w:line="360" w:lineRule="auto"/>
        <w:ind w:left="0" w:right="0" w:firstLine="440" w:firstLineChars="200"/>
        <w:jc w:val="both"/>
        <w:textAlignment w:val="auto"/>
        <w:rPr>
          <w:rFonts w:hint="eastAsia" w:ascii="宋体" w:hAnsi="宋体" w:eastAsia="宋体" w:cs="宋体"/>
          <w:highlight w:val="none"/>
        </w:rPr>
      </w:pPr>
      <w:r>
        <w:rPr>
          <w:rFonts w:hint="eastAsia" w:ascii="宋体" w:hAnsi="宋体" w:eastAsia="宋体" w:cs="宋体"/>
          <w:spacing w:val="-10"/>
          <w:highlight w:val="none"/>
        </w:rPr>
        <w:t>同时，通过举办多种多样的文艺活动、培训讨论等活</w:t>
      </w:r>
      <w:r>
        <w:rPr>
          <w:rFonts w:hint="eastAsia" w:ascii="宋体" w:hAnsi="宋体" w:eastAsia="宋体" w:cs="宋体"/>
          <w:spacing w:val="-7"/>
          <w:highlight w:val="none"/>
        </w:rPr>
        <w:t>动来增强员工凝聚力和向心力，提高员工身心素质。家庭是企业的细胞，只有职</w:t>
      </w:r>
      <w:r>
        <w:rPr>
          <w:rFonts w:hint="eastAsia" w:ascii="宋体" w:hAnsi="宋体" w:eastAsia="宋体" w:cs="宋体"/>
          <w:spacing w:val="-8"/>
          <w:highlight w:val="none"/>
        </w:rPr>
        <w:t>工家庭唱响和谐之音，职工才能全力以赴地投入到工作中，企业才能实现稳定发</w:t>
      </w:r>
      <w:r>
        <w:rPr>
          <w:rFonts w:hint="eastAsia" w:ascii="宋体" w:hAnsi="宋体" w:eastAsia="宋体" w:cs="宋体"/>
          <w:spacing w:val="-10"/>
          <w:highlight w:val="none"/>
        </w:rPr>
        <w:t>展。公司深入实施文明家庭创建工程，努力构建和谐稳定家园，为公司的稳定健</w:t>
      </w:r>
      <w:r>
        <w:rPr>
          <w:rFonts w:hint="eastAsia" w:ascii="宋体" w:hAnsi="宋体" w:eastAsia="宋体" w:cs="宋体"/>
          <w:highlight w:val="none"/>
        </w:rPr>
        <w:t>康发展创造安定向上的良好氛围。</w:t>
      </w:r>
    </w:p>
    <w:p w14:paraId="29AECE70">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sz w:val="32"/>
          <w:szCs w:val="32"/>
          <w:highlight w:val="none"/>
        </w:rPr>
      </w:pPr>
      <w:bookmarkStart w:id="14" w:name="七、奉献社会"/>
      <w:bookmarkEnd w:id="14"/>
      <w:bookmarkStart w:id="15" w:name="_Toc24531711"/>
      <w:r>
        <w:rPr>
          <w:rFonts w:hint="eastAsia" w:ascii="宋体" w:hAnsi="宋体" w:eastAsia="宋体" w:cs="宋体"/>
          <w:b/>
          <w:bCs/>
          <w:sz w:val="32"/>
          <w:szCs w:val="32"/>
          <w:highlight w:val="none"/>
        </w:rPr>
        <w:t>七、奉献社会</w:t>
      </w:r>
      <w:bookmarkEnd w:id="15"/>
    </w:p>
    <w:p w14:paraId="6D390CBE">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jc w:val="both"/>
        <w:textAlignment w:val="auto"/>
        <w:rPr>
          <w:rFonts w:hint="eastAsia" w:ascii="宋体" w:hAnsi="宋体" w:eastAsia="宋体" w:cs="宋体"/>
          <w:szCs w:val="22"/>
          <w:highlight w:val="none"/>
        </w:rPr>
      </w:pPr>
      <w:r>
        <w:rPr>
          <w:rFonts w:hint="eastAsia" w:ascii="宋体" w:hAnsi="宋体" w:eastAsia="宋体" w:cs="宋体"/>
          <w:szCs w:val="22"/>
          <w:highlight w:val="none"/>
        </w:rPr>
        <w:t>公司发展离不开社会各界的支持，同时公司对社会也应履行社会责任。公司领导十分重视公益支持，积极主动履行公共责任，回报社会。</w:t>
      </w:r>
    </w:p>
    <w:p w14:paraId="2EB36104">
      <w:pPr>
        <w:pStyle w:val="5"/>
        <w:keepNext w:val="0"/>
        <w:keepLines w:val="0"/>
        <w:pageBreakBefore w:val="0"/>
        <w:kinsoku/>
        <w:wordWrap/>
        <w:overflowPunct/>
        <w:topLinePunct w:val="0"/>
        <w:autoSpaceDE w:val="0"/>
        <w:autoSpaceDN w:val="0"/>
        <w:bidi w:val="0"/>
        <w:adjustRightInd/>
        <w:spacing w:line="360" w:lineRule="auto"/>
        <w:ind w:left="0" w:right="0" w:firstLine="0" w:firstLineChars="0"/>
        <w:textAlignment w:val="auto"/>
        <w:rPr>
          <w:rFonts w:hint="eastAsia" w:ascii="宋体" w:hAnsi="宋体" w:eastAsia="宋体" w:cs="宋体"/>
          <w:highlight w:val="none"/>
        </w:rPr>
      </w:pPr>
      <w:r>
        <w:rPr>
          <w:rFonts w:hint="eastAsia" w:ascii="宋体" w:hAnsi="宋体" w:eastAsia="宋体" w:cs="宋体"/>
          <w:szCs w:val="22"/>
          <w:highlight w:val="none"/>
        </w:rPr>
        <w:t>结合公司的发展战略，在公司战略规划上，专门规划出部分资金用于的公益活动。公司领导以身作则积极参与社会的公益活动。</w:t>
      </w:r>
    </w:p>
    <w:p w14:paraId="7344BE41">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sz w:val="32"/>
          <w:szCs w:val="32"/>
          <w:highlight w:val="none"/>
        </w:rPr>
      </w:pPr>
      <w:bookmarkStart w:id="16" w:name="八、合作伙伴"/>
      <w:bookmarkEnd w:id="16"/>
      <w:bookmarkStart w:id="17" w:name="_Toc24531712"/>
      <w:r>
        <w:rPr>
          <w:rFonts w:hint="eastAsia" w:ascii="宋体" w:hAnsi="宋体" w:eastAsia="宋体" w:cs="宋体"/>
          <w:b/>
          <w:bCs/>
          <w:sz w:val="32"/>
          <w:szCs w:val="32"/>
          <w:highlight w:val="none"/>
        </w:rPr>
        <w:t>八、合作伙伴</w:t>
      </w:r>
      <w:bookmarkEnd w:id="17"/>
    </w:p>
    <w:p w14:paraId="7B95A50C">
      <w:pPr>
        <w:pStyle w:val="5"/>
        <w:keepNext w:val="0"/>
        <w:keepLines w:val="0"/>
        <w:pageBreakBefore w:val="0"/>
        <w:kinsoku/>
        <w:wordWrap/>
        <w:overflowPunct/>
        <w:topLinePunct w:val="0"/>
        <w:autoSpaceDE w:val="0"/>
        <w:autoSpaceDN w:val="0"/>
        <w:bidi w:val="0"/>
        <w:adjustRightInd/>
        <w:spacing w:line="360" w:lineRule="auto"/>
        <w:ind w:left="0" w:right="0" w:firstLine="456" w:firstLineChars="200"/>
        <w:jc w:val="both"/>
        <w:textAlignment w:val="auto"/>
        <w:rPr>
          <w:rFonts w:hint="eastAsia" w:ascii="宋体" w:hAnsi="宋体" w:eastAsia="宋体" w:cs="宋体"/>
          <w:highlight w:val="none"/>
        </w:rPr>
      </w:pPr>
      <w:r>
        <w:rPr>
          <w:rFonts w:hint="eastAsia" w:ascii="宋体" w:hAnsi="宋体" w:eastAsia="宋体" w:cs="宋体"/>
          <w:spacing w:val="-6"/>
          <w:highlight w:val="none"/>
        </w:rPr>
        <w:t>每一个伙伴关系都有其独特的成功因素，这与公司独特的环境相关联。然而</w:t>
      </w:r>
      <w:r>
        <w:rPr>
          <w:rFonts w:hint="eastAsia" w:ascii="宋体" w:hAnsi="宋体" w:eastAsia="宋体" w:cs="宋体"/>
          <w:spacing w:val="-7"/>
          <w:highlight w:val="none"/>
        </w:rPr>
        <w:t>在不同产业国家与市场中，每个成功企业的业绩后面，有三个共同的因素存在于</w:t>
      </w:r>
      <w:r>
        <w:rPr>
          <w:rFonts w:hint="eastAsia" w:ascii="宋体" w:hAnsi="宋体" w:eastAsia="宋体" w:cs="宋体"/>
          <w:spacing w:val="-9"/>
          <w:highlight w:val="none"/>
        </w:rPr>
        <w:t>每个成功的伙伴关系中：贡献、亲密、远景。这三个因素是促使伙伴关系成功不</w:t>
      </w:r>
      <w:r>
        <w:rPr>
          <w:rFonts w:hint="eastAsia" w:ascii="宋体" w:hAnsi="宋体" w:eastAsia="宋体" w:cs="宋体"/>
          <w:highlight w:val="none"/>
        </w:rPr>
        <w:t>可或缺的因素。</w:t>
      </w:r>
    </w:p>
    <w:p w14:paraId="1FEAB533">
      <w:pPr>
        <w:pStyle w:val="15"/>
        <w:keepNext w:val="0"/>
        <w:keepLines w:val="0"/>
        <w:pageBreakBefore w:val="0"/>
        <w:numPr>
          <w:ilvl w:val="1"/>
          <w:numId w:val="7"/>
        </w:numPr>
        <w:tabs>
          <w:tab w:val="left" w:pos="540"/>
        </w:tabs>
        <w:kinsoku/>
        <w:wordWrap/>
        <w:overflowPunct/>
        <w:topLinePunct w:val="0"/>
        <w:autoSpaceDE w:val="0"/>
        <w:autoSpaceDN w:val="0"/>
        <w:bidi w:val="0"/>
        <w:adjustRightInd/>
        <w:spacing w:before="0" w:line="360" w:lineRule="auto"/>
        <w:ind w:left="0" w:right="0" w:firstLine="0" w:firstLineChars="0"/>
        <w:jc w:val="both"/>
        <w:textAlignment w:val="auto"/>
        <w:rPr>
          <w:rFonts w:hint="eastAsia" w:ascii="宋体" w:hAnsi="宋体" w:eastAsia="宋体" w:cs="宋体"/>
          <w:sz w:val="24"/>
          <w:highlight w:val="none"/>
        </w:rPr>
      </w:pPr>
      <w:r>
        <w:rPr>
          <w:rFonts w:hint="eastAsia" w:ascii="宋体" w:hAnsi="宋体" w:eastAsia="宋体" w:cs="宋体"/>
          <w:sz w:val="24"/>
          <w:highlight w:val="none"/>
        </w:rPr>
        <w:t>共享共赢</w:t>
      </w:r>
    </w:p>
    <w:p w14:paraId="3A2FD15A">
      <w:pPr>
        <w:pStyle w:val="5"/>
        <w:keepNext w:val="0"/>
        <w:keepLines w:val="0"/>
        <w:pageBreakBefore w:val="0"/>
        <w:kinsoku/>
        <w:wordWrap/>
        <w:overflowPunct/>
        <w:topLinePunct w:val="0"/>
        <w:autoSpaceDE w:val="0"/>
        <w:autoSpaceDN w:val="0"/>
        <w:bidi w:val="0"/>
        <w:adjustRightInd/>
        <w:spacing w:line="360" w:lineRule="auto"/>
        <w:ind w:left="0" w:right="0" w:firstLine="432" w:firstLineChars="200"/>
        <w:textAlignment w:val="auto"/>
        <w:rPr>
          <w:rFonts w:hint="eastAsia" w:ascii="宋体" w:hAnsi="宋体" w:eastAsia="宋体" w:cs="宋体"/>
          <w:highlight w:val="none"/>
        </w:rPr>
      </w:pPr>
      <w:r>
        <w:rPr>
          <w:rFonts w:hint="eastAsia" w:ascii="宋体" w:hAnsi="宋体" w:eastAsia="宋体" w:cs="宋体"/>
          <w:spacing w:val="-12"/>
          <w:highlight w:val="none"/>
        </w:rPr>
        <w:t>公司早</w:t>
      </w:r>
      <w:r>
        <w:rPr>
          <w:rFonts w:hint="eastAsia" w:ascii="宋体" w:hAnsi="宋体" w:eastAsia="宋体" w:cs="宋体"/>
          <w:spacing w:val="-15"/>
          <w:highlight w:val="none"/>
        </w:rPr>
        <w:t xml:space="preserve">年就推行供应商整合调整项目，即培养一批优秀的供应商， </w:t>
      </w:r>
      <w:r>
        <w:rPr>
          <w:rFonts w:hint="eastAsia" w:ascii="宋体" w:hAnsi="宋体" w:eastAsia="宋体" w:cs="宋体"/>
          <w:spacing w:val="-5"/>
          <w:highlight w:val="none"/>
        </w:rPr>
        <w:t>合并或放弃一批零散繁杂的小供应商，使得供应商的积极性得到了充分发挥，公</w:t>
      </w:r>
      <w:r>
        <w:rPr>
          <w:rFonts w:hint="eastAsia" w:ascii="宋体" w:hAnsi="宋体" w:eastAsia="宋体" w:cs="宋体"/>
          <w:spacing w:val="-10"/>
          <w:highlight w:val="none"/>
        </w:rPr>
        <w:t>司与供应商的关系不再是简单的买卖关系，而是一种共生共荣，共享共赢的战略合作伙伴关</w:t>
      </w:r>
      <w:r>
        <w:rPr>
          <w:rFonts w:hint="eastAsia" w:ascii="宋体" w:hAnsi="宋体" w:eastAsia="宋体" w:cs="宋体"/>
          <w:spacing w:val="-13"/>
          <w:highlight w:val="none"/>
        </w:rPr>
        <w:t>系。</w:t>
      </w:r>
    </w:p>
    <w:p w14:paraId="11CE3B5A">
      <w:pPr>
        <w:pStyle w:val="15"/>
        <w:keepNext w:val="0"/>
        <w:keepLines w:val="0"/>
        <w:pageBreakBefore w:val="0"/>
        <w:numPr>
          <w:ilvl w:val="1"/>
          <w:numId w:val="7"/>
        </w:numPr>
        <w:tabs>
          <w:tab w:val="left" w:pos="540"/>
        </w:tabs>
        <w:kinsoku/>
        <w:wordWrap/>
        <w:overflowPunct/>
        <w:topLinePunct w:val="0"/>
        <w:autoSpaceDE w:val="0"/>
        <w:autoSpaceDN w:val="0"/>
        <w:bidi w:val="0"/>
        <w:adjustRightInd/>
        <w:spacing w:before="0" w:line="360" w:lineRule="auto"/>
        <w:ind w:left="0" w:right="0" w:firstLine="0" w:firstLineChars="0"/>
        <w:jc w:val="both"/>
        <w:textAlignment w:val="auto"/>
        <w:rPr>
          <w:rFonts w:hint="eastAsia" w:ascii="宋体" w:hAnsi="宋体" w:eastAsia="宋体" w:cs="宋体"/>
          <w:sz w:val="24"/>
          <w:highlight w:val="none"/>
        </w:rPr>
      </w:pPr>
      <w:r>
        <w:rPr>
          <w:rFonts w:hint="eastAsia" w:ascii="宋体" w:hAnsi="宋体" w:eastAsia="宋体" w:cs="宋体"/>
          <w:sz w:val="24"/>
          <w:highlight w:val="none"/>
        </w:rPr>
        <w:t>杜绝商业贿赂</w:t>
      </w:r>
    </w:p>
    <w:p w14:paraId="03273934">
      <w:pPr>
        <w:pStyle w:val="5"/>
        <w:keepNext w:val="0"/>
        <w:keepLines w:val="0"/>
        <w:pageBreakBefore w:val="0"/>
        <w:kinsoku/>
        <w:wordWrap/>
        <w:overflowPunct/>
        <w:topLinePunct w:val="0"/>
        <w:autoSpaceDE w:val="0"/>
        <w:autoSpaceDN w:val="0"/>
        <w:bidi w:val="0"/>
        <w:adjustRightInd/>
        <w:spacing w:line="360" w:lineRule="auto"/>
        <w:ind w:left="0" w:right="0" w:firstLine="444" w:firstLineChars="200"/>
        <w:jc w:val="both"/>
        <w:textAlignment w:val="auto"/>
        <w:rPr>
          <w:rFonts w:hint="eastAsia" w:ascii="宋体" w:hAnsi="宋体" w:eastAsia="宋体" w:cs="宋体"/>
          <w:highlight w:val="none"/>
        </w:rPr>
      </w:pPr>
      <w:r>
        <w:rPr>
          <w:rFonts w:hint="eastAsia" w:ascii="宋体" w:hAnsi="宋体" w:eastAsia="宋体" w:cs="宋体"/>
          <w:spacing w:val="-9"/>
          <w:highlight w:val="none"/>
        </w:rPr>
        <w:t>随着公司的发展，供应商采购管理中的地位显得越来越重要。公司对供应商</w:t>
      </w:r>
      <w:r>
        <w:rPr>
          <w:rFonts w:hint="eastAsia" w:ascii="宋体" w:hAnsi="宋体" w:eastAsia="宋体" w:cs="宋体"/>
          <w:spacing w:val="-10"/>
          <w:highlight w:val="none"/>
        </w:rPr>
        <w:t>的选择是在</w:t>
      </w:r>
      <w:r>
        <w:rPr>
          <w:rFonts w:hint="eastAsia" w:ascii="宋体" w:hAnsi="宋体" w:eastAsia="宋体" w:cs="宋体"/>
          <w:highlight w:val="none"/>
        </w:rPr>
        <w:t>ISO9001</w:t>
      </w:r>
      <w:r>
        <w:rPr>
          <w:rFonts w:hint="eastAsia" w:ascii="宋体" w:hAnsi="宋体" w:eastAsia="宋体" w:cs="宋体"/>
          <w:spacing w:val="-32"/>
          <w:highlight w:val="none"/>
        </w:rPr>
        <w:t>、</w:t>
      </w:r>
      <w:r>
        <w:rPr>
          <w:rFonts w:hint="eastAsia" w:ascii="宋体" w:hAnsi="宋体" w:eastAsia="宋体" w:cs="宋体"/>
          <w:highlight w:val="none"/>
        </w:rPr>
        <w:t>ISO14000</w:t>
      </w:r>
      <w:r>
        <w:rPr>
          <w:rFonts w:hint="eastAsia" w:ascii="宋体" w:hAnsi="宋体" w:eastAsia="宋体" w:cs="宋体"/>
          <w:spacing w:val="-32"/>
          <w:highlight w:val="none"/>
        </w:rPr>
        <w:t>、</w:t>
      </w:r>
      <w:r>
        <w:rPr>
          <w:rFonts w:hint="eastAsia" w:ascii="宋体" w:hAnsi="宋体" w:eastAsia="宋体" w:cs="宋体"/>
          <w:highlight w:val="none"/>
        </w:rPr>
        <w:t>ISO45001</w:t>
      </w:r>
      <w:r>
        <w:rPr>
          <w:rFonts w:hint="eastAsia" w:ascii="宋体" w:hAnsi="宋体" w:eastAsia="宋体" w:cs="宋体"/>
          <w:spacing w:val="-11"/>
          <w:highlight w:val="none"/>
        </w:rPr>
        <w:t>三大体系文件的原则下进行的</w:t>
      </w:r>
      <w:r>
        <w:rPr>
          <w:rFonts w:hint="eastAsia" w:ascii="宋体" w:hAnsi="宋体" w:eastAsia="宋体" w:cs="宋体"/>
          <w:highlight w:val="none"/>
        </w:rPr>
        <w:t>。</w:t>
      </w:r>
      <w:bookmarkStart w:id="18" w:name="九、社会认可"/>
      <w:bookmarkEnd w:id="18"/>
    </w:p>
    <w:p w14:paraId="32DB3309">
      <w:pPr>
        <w:pStyle w:val="2"/>
        <w:keepNext w:val="0"/>
        <w:keepLines w:val="0"/>
        <w:pageBreakBefore w:val="0"/>
        <w:kinsoku/>
        <w:wordWrap/>
        <w:overflowPunct/>
        <w:topLinePunct w:val="0"/>
        <w:autoSpaceDE w:val="0"/>
        <w:autoSpaceDN w:val="0"/>
        <w:bidi w:val="0"/>
        <w:adjustRightInd/>
        <w:spacing w:line="360" w:lineRule="auto"/>
        <w:ind w:left="0" w:right="0" w:firstLine="0" w:firstLineChars="0"/>
        <w:jc w:val="center"/>
        <w:textAlignment w:val="auto"/>
        <w:rPr>
          <w:rFonts w:hint="eastAsia" w:ascii="宋体" w:hAnsi="宋体" w:eastAsia="宋体" w:cs="宋体"/>
          <w:b/>
          <w:bCs/>
          <w:sz w:val="32"/>
          <w:szCs w:val="32"/>
          <w:highlight w:val="none"/>
        </w:rPr>
      </w:pPr>
      <w:bookmarkStart w:id="19" w:name="十、存在问题及改进"/>
      <w:bookmarkEnd w:id="19"/>
      <w:bookmarkStart w:id="20" w:name="_Toc24531713"/>
      <w:r>
        <w:rPr>
          <w:rFonts w:hint="eastAsia" w:ascii="宋体" w:hAnsi="宋体" w:eastAsia="宋体" w:cs="宋体"/>
          <w:b/>
          <w:bCs/>
          <w:sz w:val="32"/>
          <w:szCs w:val="32"/>
          <w:highlight w:val="none"/>
        </w:rPr>
        <w:t>九、存在问题及改进</w:t>
      </w:r>
      <w:bookmarkEnd w:id="20"/>
    </w:p>
    <w:p w14:paraId="4D32FB4C">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textAlignment w:val="auto"/>
        <w:rPr>
          <w:rFonts w:hint="eastAsia" w:ascii="宋体" w:hAnsi="宋体" w:eastAsia="宋体" w:cs="宋体"/>
          <w:highlight w:val="none"/>
        </w:rPr>
      </w:pPr>
      <w:r>
        <w:rPr>
          <w:rFonts w:hint="eastAsia" w:ascii="宋体" w:hAnsi="宋体" w:eastAsia="宋体" w:cs="宋体"/>
          <w:highlight w:val="none"/>
        </w:rPr>
        <w:t>公司在履行社会责任各方面做了大量的工作，但与相关规定仍存在差距。</w:t>
      </w:r>
      <w:r>
        <w:rPr>
          <w:rFonts w:hint="eastAsia" w:ascii="宋体" w:hAnsi="宋体" w:eastAsia="宋体" w:cs="宋体"/>
          <w:highlight w:val="none"/>
          <w:lang w:eastAsia="zh-CN"/>
        </w:rPr>
        <w:t>2023</w:t>
      </w:r>
      <w:r>
        <w:rPr>
          <w:rFonts w:hint="eastAsia" w:ascii="宋体" w:hAnsi="宋体" w:eastAsia="宋体" w:cs="宋体"/>
          <w:highlight w:val="none"/>
        </w:rPr>
        <w:t>年</w:t>
      </w:r>
      <w:r>
        <w:rPr>
          <w:rFonts w:hint="eastAsia" w:ascii="宋体" w:hAnsi="宋体" w:eastAsia="宋体" w:cs="宋体"/>
          <w:highlight w:val="none"/>
        </w:rPr>
        <w:t>，经济下行压力增大，市场需求低迷，面对中国经济新常态下的发展， 不得不面对</w:t>
      </w:r>
      <w:r>
        <w:rPr>
          <w:rFonts w:hint="eastAsia" w:cs="宋体"/>
          <w:highlight w:val="none"/>
          <w:lang w:eastAsia="zh-CN"/>
        </w:rPr>
        <w:t>惠同</w:t>
      </w:r>
      <w:r>
        <w:rPr>
          <w:rFonts w:hint="eastAsia" w:ascii="宋体" w:hAnsi="宋体" w:eastAsia="宋体" w:cs="宋体"/>
          <w:highlight w:val="none"/>
        </w:rPr>
        <w:t>转型发展中的不适应：一是规模和效益方面：</w:t>
      </w:r>
      <w:r>
        <w:rPr>
          <w:rFonts w:hint="eastAsia" w:ascii="宋体" w:hAnsi="宋体" w:eastAsia="宋体" w:cs="宋体"/>
          <w:highlight w:val="none"/>
          <w:lang w:eastAsia="zh-CN"/>
        </w:rPr>
        <w:t>2023</w:t>
      </w:r>
      <w:r>
        <w:rPr>
          <w:rFonts w:hint="eastAsia" w:ascii="宋体" w:hAnsi="宋体" w:eastAsia="宋体" w:cs="宋体"/>
          <w:spacing w:val="-20"/>
          <w:highlight w:val="none"/>
        </w:rPr>
        <w:t>年以</w:t>
      </w:r>
      <w:r>
        <w:rPr>
          <w:rFonts w:hint="eastAsia" w:ascii="宋体" w:hAnsi="宋体" w:eastAsia="宋体" w:cs="宋体"/>
          <w:spacing w:val="-22"/>
          <w:highlight w:val="none"/>
        </w:rPr>
        <w:t>来，公司整体经济效益增长趋势走低，公司经营管理有待进一步完善。</w:t>
      </w:r>
      <w:r>
        <w:rPr>
          <w:rFonts w:hint="eastAsia" w:ascii="宋体" w:hAnsi="宋体" w:eastAsia="宋体" w:cs="宋体"/>
          <w:spacing w:val="-7"/>
          <w:highlight w:val="none"/>
        </w:rPr>
        <w:t>二是人员结构和薪酬方面：人员结构优化结果与预期还有差距，薪酬结构和薪酬</w:t>
      </w:r>
      <w:r>
        <w:rPr>
          <w:rFonts w:hint="eastAsia" w:ascii="宋体" w:hAnsi="宋体" w:eastAsia="宋体" w:cs="宋体"/>
          <w:highlight w:val="none"/>
        </w:rPr>
        <w:t>水平与规模和效益不匹配，有待进一步深化改革。三是国际化的竞争水平不高，国际化战略刚见雏形、国际化市场资源配备不科学。四是商业模式传统并单一，还未完全实现生产服务商转型。</w:t>
      </w:r>
    </w:p>
    <w:p w14:paraId="7CC108D2">
      <w:pPr>
        <w:pStyle w:val="5"/>
        <w:keepNext w:val="0"/>
        <w:keepLines w:val="0"/>
        <w:pageBreakBefore w:val="0"/>
        <w:kinsoku/>
        <w:wordWrap/>
        <w:overflowPunct/>
        <w:topLinePunct w:val="0"/>
        <w:autoSpaceDE w:val="0"/>
        <w:autoSpaceDN w:val="0"/>
        <w:bidi w:val="0"/>
        <w:adjustRightInd/>
        <w:spacing w:line="360" w:lineRule="auto"/>
        <w:ind w:left="0" w:right="0" w:firstLine="480" w:firstLineChars="200"/>
        <w:textAlignment w:val="auto"/>
        <w:rPr>
          <w:rFonts w:hint="eastAsia" w:ascii="宋体" w:hAnsi="宋体" w:eastAsia="宋体" w:cs="宋体"/>
          <w:spacing w:val="-11"/>
          <w:highlight w:val="none"/>
        </w:rPr>
      </w:pPr>
      <w:r>
        <w:rPr>
          <w:rFonts w:hint="eastAsia" w:ascii="宋体" w:hAnsi="宋体" w:eastAsia="宋体" w:cs="宋体"/>
          <w:highlight w:val="none"/>
        </w:rPr>
        <w:t>未来五年，是我们 “雄鹰展翅翱翔”之年。公司将继续专注于</w:t>
      </w:r>
      <w:r>
        <w:rPr>
          <w:rFonts w:hint="eastAsia"/>
          <w:color w:val="000000" w:themeColor="text1"/>
          <w:sz w:val="24"/>
          <w:szCs w:val="24"/>
          <w:highlight w:val="none"/>
          <w:lang w:val="en-US" w:eastAsia="zh-CN"/>
          <w14:textFill>
            <w14:solidFill>
              <w14:schemeClr w14:val="tx1"/>
            </w14:solidFill>
          </w14:textFill>
        </w:rPr>
        <w:t>涂板纸、茶叶滤纸、棉纸</w:t>
      </w:r>
      <w:r>
        <w:rPr>
          <w:rFonts w:hint="eastAsia" w:ascii="宋体" w:hAnsi="宋体" w:eastAsia="宋体" w:cs="宋体"/>
          <w:spacing w:val="-9"/>
          <w:highlight w:val="none"/>
        </w:rPr>
        <w:t>的研发、生产和销售业务，瞄准国际前沿技术，坚持以实业经营为根本，以资</w:t>
      </w:r>
      <w:r>
        <w:rPr>
          <w:rFonts w:hint="eastAsia" w:ascii="宋体" w:hAnsi="宋体" w:eastAsia="宋体" w:cs="宋体"/>
          <w:spacing w:val="-10"/>
          <w:highlight w:val="none"/>
        </w:rPr>
        <w:t>本运作为手段，二者循环促进，推动公司成为</w:t>
      </w:r>
      <w:r>
        <w:rPr>
          <w:rFonts w:hint="eastAsia"/>
          <w:color w:val="000000" w:themeColor="text1"/>
          <w:sz w:val="24"/>
          <w:szCs w:val="24"/>
          <w:highlight w:val="none"/>
          <w:lang w:val="en-US" w:eastAsia="zh-CN"/>
          <w14:textFill>
            <w14:solidFill>
              <w14:schemeClr w14:val="tx1"/>
            </w14:solidFill>
          </w14:textFill>
        </w:rPr>
        <w:t>纸制品制造行业</w:t>
      </w:r>
      <w:r>
        <w:rPr>
          <w:rFonts w:hint="eastAsia" w:ascii="宋体" w:hAnsi="宋体" w:eastAsia="宋体" w:cs="宋体"/>
          <w:spacing w:val="-10"/>
          <w:highlight w:val="none"/>
        </w:rPr>
        <w:t>的标杆企业， 贯彻“</w:t>
      </w:r>
      <w:r>
        <w:rPr>
          <w:rFonts w:hint="eastAsia" w:ascii="宋体" w:hAnsi="宋体" w:eastAsia="宋体" w:cs="宋体"/>
          <w:color w:val="000000"/>
          <w:highlight w:val="none"/>
        </w:rPr>
        <w:t>技术先进，工艺精湛、服务完善”的经营理念，</w:t>
      </w:r>
      <w:r>
        <w:rPr>
          <w:rFonts w:hint="eastAsia" w:ascii="宋体" w:hAnsi="宋体" w:eastAsia="宋体" w:cs="宋体"/>
          <w:spacing w:val="-19"/>
          <w:highlight w:val="none"/>
        </w:rPr>
        <w:t>最终实现 “</w:t>
      </w:r>
      <w:r>
        <w:rPr>
          <w:rFonts w:hint="eastAsia" w:cs="宋体" w:asciiTheme="minorEastAsia" w:hAnsiTheme="minorEastAsia" w:eastAsiaTheme="minorEastAsia"/>
          <w:color w:val="000000" w:themeColor="text1"/>
          <w:sz w:val="24"/>
          <w:szCs w:val="24"/>
          <w:highlight w:val="none"/>
          <w:lang w:val="en-US" w:eastAsia="zh-CN"/>
          <w14:textFill>
            <w14:solidFill>
              <w14:schemeClr w14:val="tx1"/>
            </w14:solidFill>
          </w14:textFill>
        </w:rPr>
        <w:t>致力于成为国内薄形纸行业的引领者。</w:t>
      </w:r>
      <w:r>
        <w:rPr>
          <w:rFonts w:hint="eastAsia" w:ascii="宋体" w:hAnsi="宋体" w:eastAsia="宋体" w:cs="宋体"/>
          <w:color w:val="000000"/>
          <w:highlight w:val="none"/>
        </w:rPr>
        <w:t>”的愿景</w:t>
      </w:r>
      <w:r>
        <w:rPr>
          <w:rFonts w:hint="eastAsia" w:ascii="宋体" w:hAnsi="宋体" w:eastAsia="宋体" w:cs="宋体"/>
          <w:spacing w:val="-19"/>
          <w:highlight w:val="none"/>
        </w:rPr>
        <w:t>。</w:t>
      </w:r>
    </w:p>
    <w:p w14:paraId="52770356">
      <w:pPr>
        <w:pStyle w:val="5"/>
        <w:keepNext w:val="0"/>
        <w:keepLines w:val="0"/>
        <w:pageBreakBefore w:val="0"/>
        <w:kinsoku/>
        <w:wordWrap/>
        <w:overflowPunct/>
        <w:topLinePunct w:val="0"/>
        <w:autoSpaceDE w:val="0"/>
        <w:autoSpaceDN w:val="0"/>
        <w:bidi w:val="0"/>
        <w:adjustRightInd/>
        <w:spacing w:line="360" w:lineRule="auto"/>
        <w:ind w:left="0" w:right="0" w:firstLine="0" w:firstLineChars="0"/>
        <w:textAlignment w:val="auto"/>
        <w:rPr>
          <w:rFonts w:hint="eastAsia" w:ascii="宋体" w:hAnsi="宋体" w:eastAsia="宋体" w:cs="宋体"/>
          <w:spacing w:val="-11"/>
          <w:highlight w:val="none"/>
        </w:rPr>
      </w:pPr>
      <w:r>
        <w:rPr>
          <w:rFonts w:hint="eastAsia" w:ascii="宋体" w:hAnsi="宋体" w:eastAsia="宋体" w:cs="宋体"/>
          <w:spacing w:val="-11"/>
          <w:highlight w:val="none"/>
        </w:rPr>
        <w:t>明确了发展战略为：</w:t>
      </w:r>
    </w:p>
    <w:p w14:paraId="112D050F">
      <w:pPr>
        <w:pStyle w:val="5"/>
        <w:keepNext w:val="0"/>
        <w:keepLines w:val="0"/>
        <w:pageBreakBefore w:val="0"/>
        <w:kinsoku/>
        <w:wordWrap/>
        <w:overflowPunct/>
        <w:topLinePunct w:val="0"/>
        <w:autoSpaceDE w:val="0"/>
        <w:autoSpaceDN w:val="0"/>
        <w:bidi w:val="0"/>
        <w:adjustRightInd/>
        <w:spacing w:line="360" w:lineRule="auto"/>
        <w:ind w:left="0" w:right="0" w:firstLine="436" w:firstLineChars="200"/>
        <w:textAlignment w:val="auto"/>
        <w:rPr>
          <w:rFonts w:hint="eastAsia" w:ascii="宋体" w:hAnsi="宋体" w:eastAsia="宋体" w:cs="宋体"/>
          <w:spacing w:val="-11"/>
          <w:highlight w:val="none"/>
        </w:rPr>
      </w:pPr>
      <w:r>
        <w:rPr>
          <w:rFonts w:hint="eastAsia" w:ascii="宋体" w:hAnsi="宋体" w:eastAsia="宋体" w:cs="宋体"/>
          <w:spacing w:val="-11"/>
          <w:highlight w:val="none"/>
        </w:rPr>
        <w:t>通过专业化人才队伍的建设，提高</w:t>
      </w:r>
      <w:r>
        <w:rPr>
          <w:rFonts w:hint="eastAsia" w:ascii="宋体" w:hAnsi="宋体" w:eastAsia="宋体" w:cs="宋体"/>
          <w:spacing w:val="-11"/>
          <w:highlight w:val="none"/>
          <w:lang w:val="en-US" w:eastAsia="zh-CN"/>
        </w:rPr>
        <w:t>锅具</w:t>
      </w:r>
      <w:r>
        <w:rPr>
          <w:rFonts w:hint="eastAsia" w:ascii="宋体" w:hAnsi="宋体" w:eastAsia="宋体" w:cs="宋体"/>
          <w:spacing w:val="-11"/>
          <w:highlight w:val="none"/>
        </w:rPr>
        <w:t>的前瞻性设计能力以满足不同客户对不同类别产品的需求；通过线上线下多渠道销售布局以提高覆盖率，进而提升企业品牌优势和影响力；通过完善内部管理流程以保证产品品质，进而提升顾客满意度及品牌美誉度。</w:t>
      </w:r>
    </w:p>
    <w:p w14:paraId="441B50C1">
      <w:pPr>
        <w:pStyle w:val="5"/>
        <w:keepNext w:val="0"/>
        <w:keepLines w:val="0"/>
        <w:pageBreakBefore w:val="0"/>
        <w:kinsoku/>
        <w:wordWrap/>
        <w:overflowPunct/>
        <w:topLinePunct w:val="0"/>
        <w:autoSpaceDE w:val="0"/>
        <w:autoSpaceDN w:val="0"/>
        <w:bidi w:val="0"/>
        <w:adjustRightInd/>
        <w:spacing w:line="360" w:lineRule="auto"/>
        <w:ind w:left="0" w:right="0" w:firstLine="0" w:firstLineChars="0"/>
        <w:textAlignment w:val="auto"/>
        <w:rPr>
          <w:rFonts w:hint="eastAsia" w:ascii="宋体" w:hAnsi="宋体" w:eastAsia="宋体" w:cs="宋体"/>
          <w:spacing w:val="-11"/>
          <w:highlight w:val="none"/>
        </w:rPr>
      </w:pPr>
      <w:r>
        <w:rPr>
          <w:rFonts w:hint="eastAsia" w:ascii="宋体" w:hAnsi="宋体" w:eastAsia="宋体" w:cs="宋体"/>
          <w:spacing w:val="-11"/>
          <w:highlight w:val="none"/>
        </w:rPr>
        <w:t>利用消费市场增长机会，快速布局市场销售渠道，提高产品或服务的能力；利用行业整合机会，加强管理人员建设，完善相关管理制度；针对消费者需求的多样化逐步丰富产品线，增加品牌内涵；强化供应商管理，满足客户对产品或服务的要求。</w:t>
      </w:r>
    </w:p>
    <w:p w14:paraId="0F958170">
      <w:pPr>
        <w:pStyle w:val="5"/>
        <w:keepNext w:val="0"/>
        <w:keepLines w:val="0"/>
        <w:pageBreakBefore w:val="0"/>
        <w:kinsoku/>
        <w:wordWrap/>
        <w:overflowPunct/>
        <w:topLinePunct w:val="0"/>
        <w:autoSpaceDE w:val="0"/>
        <w:autoSpaceDN w:val="0"/>
        <w:bidi w:val="0"/>
        <w:adjustRightInd/>
        <w:spacing w:line="360" w:lineRule="auto"/>
        <w:ind w:left="0" w:right="0" w:firstLine="440" w:firstLineChars="200"/>
        <w:jc w:val="both"/>
        <w:textAlignment w:val="auto"/>
        <w:rPr>
          <w:rFonts w:hint="eastAsia" w:ascii="宋体" w:hAnsi="宋体" w:eastAsia="宋体" w:cs="宋体"/>
          <w:highlight w:val="none"/>
        </w:rPr>
      </w:pPr>
      <w:r>
        <w:rPr>
          <w:rFonts w:hint="eastAsia" w:ascii="宋体" w:hAnsi="宋体" w:eastAsia="宋体" w:cs="宋体"/>
          <w:spacing w:val="-10"/>
          <w:highlight w:val="none"/>
        </w:rPr>
        <w:t>总之，在国家发展规划的引领下、在政府的大力支持下，通过努力，相信</w:t>
      </w:r>
      <w:r>
        <w:rPr>
          <w:rFonts w:hint="eastAsia" w:ascii="宋体" w:hAnsi="宋体" w:eastAsia="宋体" w:cs="宋体"/>
          <w:spacing w:val="-7"/>
          <w:highlight w:val="none"/>
        </w:rPr>
        <w:t>公司未来三年规划会顺利实现，为</w:t>
      </w:r>
      <w:r>
        <w:rPr>
          <w:rFonts w:hint="eastAsia" w:ascii="宋体" w:hAnsi="宋体" w:eastAsia="宋体" w:cs="宋体"/>
          <w:spacing w:val="-7"/>
          <w:highlight w:val="none"/>
          <w:lang w:val="en-US"/>
        </w:rPr>
        <w:t>地区</w:t>
      </w:r>
      <w:r>
        <w:rPr>
          <w:rFonts w:hint="eastAsia" w:ascii="宋体" w:hAnsi="宋体" w:eastAsia="宋体" w:cs="宋体"/>
          <w:spacing w:val="-7"/>
          <w:highlight w:val="none"/>
        </w:rPr>
        <w:t>经济的繁荣发展献上一己之力！最终造</w:t>
      </w:r>
      <w:r>
        <w:rPr>
          <w:rFonts w:hint="eastAsia" w:ascii="宋体" w:hAnsi="宋体" w:eastAsia="宋体" w:cs="宋体"/>
          <w:highlight w:val="none"/>
        </w:rPr>
        <w:t>福股东、造福员工、造福社会。</w:t>
      </w:r>
    </w:p>
    <w:sectPr>
      <w:headerReference r:id="rId7" w:type="default"/>
      <w:footerReference r:id="rId8" w:type="default"/>
      <w:pgSz w:w="11910" w:h="16840"/>
      <w:pgMar w:top="1134" w:right="1134" w:bottom="1134" w:left="1134" w:header="877" w:footer="11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C8AFD">
    <w:pPr>
      <w:pStyle w:val="5"/>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3695700</wp:posOffset>
              </wp:positionH>
              <wp:positionV relativeFrom="page">
                <wp:posOffset>9791700</wp:posOffset>
              </wp:positionV>
              <wp:extent cx="167005" cy="1397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848B48D">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w:t>
                          </w:r>
                          <w:r>
                            <w:fldChar w:fldCharType="end"/>
                          </w:r>
                        </w:p>
                      </w:txbxContent>
                    </wps:txbx>
                    <wps:bodyPr lIns="0" tIns="0" rIns="0" bIns="0" upright="1"/>
                  </wps:wsp>
                </a:graphicData>
              </a:graphic>
            </wp:anchor>
          </w:drawing>
        </mc:Choice>
        <mc:Fallback>
          <w:pict>
            <v:shape id="文本框 1025" o:spid="_x0000_s1026" o:spt="202" type="#_x0000_t202" style="position:absolute;left:0pt;margin-left:291pt;margin-top:771pt;height:11pt;width:13.15pt;mso-position-horizontal-relative:page;mso-position-vertical-relative:page;z-index:-251657216;mso-width-relative:page;mso-height-relative:page;" filled="f" stroked="f" coordsize="21600,21600" o:gfxdata="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6/7eDaAAAADQEAAA8AAAAAAAAAAQAgAAAAIgAAAGRycy9kb3ducmV2LnhtbFBL&#10;AQIUABQAAAAIAIdO4kAm6/8buwEAAHQDAAAOAAAAAAAAAAEAIAAAACkBAABkcnMvZTJvRG9jLnht&#10;bFBLBQYAAAAABgAGAFkBAABWBQAAAAA=&#10;">
              <v:fill on="f" focussize="0,0"/>
              <v:stroke on="f"/>
              <v:imagedata o:title=""/>
              <o:lock v:ext="edit" aspectratio="f"/>
              <v:textbox inset="0mm,0mm,0mm,0mm">
                <w:txbxContent>
                  <w:p w14:paraId="3848B48D">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C259">
    <w:pPr>
      <w:spacing w:line="200" w:lineRule="exact"/>
      <w:rPr>
        <w:sz w:val="20"/>
        <w:szCs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9930765</wp:posOffset>
              </wp:positionV>
              <wp:extent cx="298450" cy="150495"/>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298450" cy="150495"/>
                      </a:xfrm>
                      <a:prstGeom prst="rect">
                        <a:avLst/>
                      </a:prstGeom>
                      <a:noFill/>
                      <a:ln>
                        <a:noFill/>
                      </a:ln>
                    </wps:spPr>
                    <wps:txbx>
                      <w:txbxContent>
                        <w:p w14:paraId="732D3618">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wps:txbx>
                    <wps:bodyPr lIns="0" tIns="0" rIns="0" bIns="0" upright="1"/>
                  </wps:wsp>
                </a:graphicData>
              </a:graphic>
            </wp:anchor>
          </w:drawing>
        </mc:Choice>
        <mc:Fallback>
          <w:pict>
            <v:shape id="文本框 1028" o:spid="_x0000_s1026" o:spt="202" type="#_x0000_t202" style="position:absolute;left:0pt;margin-top:781.95pt;height:11.85pt;width:23.5pt;mso-position-horizontal:center;mso-position-horizontal-relative:margin;mso-position-vertical-relative:page;z-index:251660288;mso-width-relative:page;mso-height-relative:page;" filled="f" stroked="f" coordsize="21600,21600" o:gfxdata="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9wUEJ1wAAAAkBAAAPAAAAAAAAAAEAIAAAACIAAABkcnMvZG93bnJldi54bWxQSwEC&#10;FAAUAAAACACHTuJANbQzp7wBAAB0AwAADgAAAAAAAAABACAAAAAmAQAAZHJzL2Uyb0RvYy54bWxQ&#10;SwUGAAAAAAYABgBZAQAAVAUAAAAA&#10;">
              <v:fill on="f" focussize="0,0"/>
              <v:stroke on="f"/>
              <v:imagedata o:title=""/>
              <o:lock v:ext="edit" aspectratio="f"/>
              <v:textbox inset="0mm,0mm,0mm,0mm">
                <w:txbxContent>
                  <w:p w14:paraId="732D3618">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3</w:t>
                    </w:r>
                    <w:r>
                      <w:rPr>
                        <w:rFonts w:ascii="Times New Roman" w:hAnsi="Times New Roman"/>
                        <w:sz w:val="1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9A8AC">
    <w:pPr>
      <w:spacing w:line="200" w:lineRule="exact"/>
      <w:rPr>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1C126">
                          <w:pPr>
                            <w:pStyle w:val="8"/>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81C126">
                    <w:pPr>
                      <w:pStyle w:val="8"/>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FAF6">
    <w:pPr>
      <w:pStyle w:val="9"/>
      <w:pBdr>
        <w:bottom w:val="none" w:color="auto" w:sz="0" w:space="1"/>
      </w:pBdr>
      <w:tabs>
        <w:tab w:val="left" w:pos="7749"/>
        <w:tab w:val="clear" w:pos="4153"/>
      </w:tabs>
      <w:jc w:val="left"/>
      <w:rPr>
        <w:rFonts w:hint="eastAsia" w:eastAsia="宋体"/>
        <w:lang w:eastAsia="zh-CN"/>
      </w:rPr>
    </w:pPr>
    <w:r>
      <w:rPr>
        <w:rFonts w:hint="eastAsia"/>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5D62">
    <w:pPr>
      <w:pBdr>
        <w:bottom w:val="none" w:color="auto" w:sz="0" w:space="0"/>
      </w:pBdr>
      <w:spacing w:before="100" w:beforeAutospacing="1" w:after="100" w:afterAutospacing="1"/>
      <w:ind w:right="198"/>
      <w:jc w:val="center"/>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32178">
    <w:pPr>
      <w:pBdr>
        <w:bottom w:val="none" w:color="auto" w:sz="0" w:space="0"/>
      </w:pBdr>
      <w:spacing w:before="100" w:beforeAutospacing="1" w:after="100" w:afterAutospacing="1"/>
      <w:ind w:right="198"/>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330664"/>
    <w:multiLevelType w:val="singleLevel"/>
    <w:tmpl w:val="88330664"/>
    <w:lvl w:ilvl="0" w:tentative="0">
      <w:start w:val="1"/>
      <w:numFmt w:val="bullet"/>
      <w:lvlText w:val=""/>
      <w:lvlJc w:val="left"/>
      <w:pPr>
        <w:ind w:left="420" w:hanging="420"/>
      </w:pPr>
      <w:rPr>
        <w:rFonts w:hint="default" w:ascii="Wingdings" w:hAnsi="Wingdings"/>
      </w:rPr>
    </w:lvl>
  </w:abstractNum>
  <w:abstractNum w:abstractNumId="1">
    <w:nsid w:val="B5E306ED"/>
    <w:multiLevelType w:val="multilevel"/>
    <w:tmpl w:val="B5E306ED"/>
    <w:lvl w:ilvl="0" w:tentative="0">
      <w:start w:val="6"/>
      <w:numFmt w:val="decimal"/>
      <w:lvlText w:val="%1"/>
      <w:lvlJc w:val="left"/>
      <w:pPr>
        <w:ind w:left="540" w:hanging="420"/>
      </w:pPr>
      <w:rPr>
        <w:rFonts w:hint="default"/>
        <w:lang w:val="zh-CN" w:eastAsia="zh-CN" w:bidi="zh-CN"/>
      </w:rPr>
    </w:lvl>
    <w:lvl w:ilvl="1" w:tentative="0">
      <w:start w:val="1"/>
      <w:numFmt w:val="decimal"/>
      <w:lvlText w:val="%1.%2"/>
      <w:lvlJc w:val="left"/>
      <w:pPr>
        <w:ind w:left="54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189" w:hanging="420"/>
      </w:pPr>
      <w:rPr>
        <w:rFonts w:hint="default"/>
        <w:lang w:val="zh-CN" w:eastAsia="zh-CN" w:bidi="zh-CN"/>
      </w:rPr>
    </w:lvl>
    <w:lvl w:ilvl="3" w:tentative="0">
      <w:start w:val="0"/>
      <w:numFmt w:val="bullet"/>
      <w:lvlText w:val="•"/>
      <w:lvlJc w:val="left"/>
      <w:pPr>
        <w:ind w:left="3013" w:hanging="420"/>
      </w:pPr>
      <w:rPr>
        <w:rFonts w:hint="default"/>
        <w:lang w:val="zh-CN" w:eastAsia="zh-CN" w:bidi="zh-CN"/>
      </w:rPr>
    </w:lvl>
    <w:lvl w:ilvl="4" w:tentative="0">
      <w:start w:val="0"/>
      <w:numFmt w:val="bullet"/>
      <w:lvlText w:val="•"/>
      <w:lvlJc w:val="left"/>
      <w:pPr>
        <w:ind w:left="3838"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487" w:hanging="420"/>
      </w:pPr>
      <w:rPr>
        <w:rFonts w:hint="default"/>
        <w:lang w:val="zh-CN" w:eastAsia="zh-CN" w:bidi="zh-CN"/>
      </w:rPr>
    </w:lvl>
    <w:lvl w:ilvl="7" w:tentative="0">
      <w:start w:val="0"/>
      <w:numFmt w:val="bullet"/>
      <w:lvlText w:val="•"/>
      <w:lvlJc w:val="left"/>
      <w:pPr>
        <w:ind w:left="6312" w:hanging="420"/>
      </w:pPr>
      <w:rPr>
        <w:rFonts w:hint="default"/>
        <w:lang w:val="zh-CN" w:eastAsia="zh-CN" w:bidi="zh-CN"/>
      </w:rPr>
    </w:lvl>
    <w:lvl w:ilvl="8" w:tentative="0">
      <w:start w:val="0"/>
      <w:numFmt w:val="bullet"/>
      <w:lvlText w:val="•"/>
      <w:lvlJc w:val="left"/>
      <w:pPr>
        <w:ind w:left="7137" w:hanging="420"/>
      </w:pPr>
      <w:rPr>
        <w:rFonts w:hint="default"/>
        <w:lang w:val="zh-CN" w:eastAsia="zh-CN" w:bidi="zh-CN"/>
      </w:rPr>
    </w:lvl>
  </w:abstractNum>
  <w:abstractNum w:abstractNumId="2">
    <w:nsid w:val="BF205925"/>
    <w:multiLevelType w:val="multilevel"/>
    <w:tmpl w:val="BF205925"/>
    <w:lvl w:ilvl="0" w:tentative="0">
      <w:start w:val="4"/>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3">
    <w:nsid w:val="CF092B84"/>
    <w:multiLevelType w:val="multilevel"/>
    <w:tmpl w:val="CF092B84"/>
    <w:lvl w:ilvl="0" w:tentative="0">
      <w:start w:val="1"/>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4">
    <w:nsid w:val="0053208E"/>
    <w:multiLevelType w:val="multilevel"/>
    <w:tmpl w:val="0053208E"/>
    <w:lvl w:ilvl="0" w:tentative="0">
      <w:start w:val="1"/>
      <w:numFmt w:val="decimal"/>
      <w:lvlText w:val="%1."/>
      <w:lvlJc w:val="left"/>
      <w:pPr>
        <w:ind w:left="48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310" w:hanging="360"/>
      </w:pPr>
      <w:rPr>
        <w:rFonts w:hint="default"/>
        <w:lang w:val="zh-CN" w:eastAsia="zh-CN" w:bidi="zh-CN"/>
      </w:rPr>
    </w:lvl>
    <w:lvl w:ilvl="2" w:tentative="0">
      <w:start w:val="0"/>
      <w:numFmt w:val="bullet"/>
      <w:lvlText w:val="•"/>
      <w:lvlJc w:val="left"/>
      <w:pPr>
        <w:ind w:left="2141" w:hanging="360"/>
      </w:pPr>
      <w:rPr>
        <w:rFonts w:hint="default"/>
        <w:lang w:val="zh-CN" w:eastAsia="zh-CN" w:bidi="zh-CN"/>
      </w:rPr>
    </w:lvl>
    <w:lvl w:ilvl="3" w:tentative="0">
      <w:start w:val="0"/>
      <w:numFmt w:val="bullet"/>
      <w:lvlText w:val="•"/>
      <w:lvlJc w:val="left"/>
      <w:pPr>
        <w:ind w:left="2971" w:hanging="360"/>
      </w:pPr>
      <w:rPr>
        <w:rFonts w:hint="default"/>
        <w:lang w:val="zh-CN" w:eastAsia="zh-CN" w:bidi="zh-CN"/>
      </w:rPr>
    </w:lvl>
    <w:lvl w:ilvl="4" w:tentative="0">
      <w:start w:val="0"/>
      <w:numFmt w:val="bullet"/>
      <w:lvlText w:val="•"/>
      <w:lvlJc w:val="left"/>
      <w:pPr>
        <w:ind w:left="3802" w:hanging="360"/>
      </w:pPr>
      <w:rPr>
        <w:rFonts w:hint="default"/>
        <w:lang w:val="zh-CN" w:eastAsia="zh-CN" w:bidi="zh-CN"/>
      </w:rPr>
    </w:lvl>
    <w:lvl w:ilvl="5" w:tentative="0">
      <w:start w:val="0"/>
      <w:numFmt w:val="bullet"/>
      <w:lvlText w:val="•"/>
      <w:lvlJc w:val="left"/>
      <w:pPr>
        <w:ind w:left="4633" w:hanging="360"/>
      </w:pPr>
      <w:rPr>
        <w:rFonts w:hint="default"/>
        <w:lang w:val="zh-CN" w:eastAsia="zh-CN" w:bidi="zh-CN"/>
      </w:rPr>
    </w:lvl>
    <w:lvl w:ilvl="6" w:tentative="0">
      <w:start w:val="0"/>
      <w:numFmt w:val="bullet"/>
      <w:lvlText w:val="•"/>
      <w:lvlJc w:val="left"/>
      <w:pPr>
        <w:ind w:left="5463" w:hanging="360"/>
      </w:pPr>
      <w:rPr>
        <w:rFonts w:hint="default"/>
        <w:lang w:val="zh-CN" w:eastAsia="zh-CN" w:bidi="zh-CN"/>
      </w:rPr>
    </w:lvl>
    <w:lvl w:ilvl="7" w:tentative="0">
      <w:start w:val="0"/>
      <w:numFmt w:val="bullet"/>
      <w:lvlText w:val="•"/>
      <w:lvlJc w:val="left"/>
      <w:pPr>
        <w:ind w:left="6294" w:hanging="360"/>
      </w:pPr>
      <w:rPr>
        <w:rFonts w:hint="default"/>
        <w:lang w:val="zh-CN" w:eastAsia="zh-CN" w:bidi="zh-CN"/>
      </w:rPr>
    </w:lvl>
    <w:lvl w:ilvl="8" w:tentative="0">
      <w:start w:val="0"/>
      <w:numFmt w:val="bullet"/>
      <w:lvlText w:val="•"/>
      <w:lvlJc w:val="left"/>
      <w:pPr>
        <w:ind w:left="7125" w:hanging="360"/>
      </w:pPr>
      <w:rPr>
        <w:rFonts w:hint="default"/>
        <w:lang w:val="zh-CN" w:eastAsia="zh-CN" w:bidi="zh-CN"/>
      </w:rPr>
    </w:lvl>
  </w:abstractNum>
  <w:abstractNum w:abstractNumId="5">
    <w:nsid w:val="1401890E"/>
    <w:multiLevelType w:val="singleLevel"/>
    <w:tmpl w:val="1401890E"/>
    <w:lvl w:ilvl="0" w:tentative="0">
      <w:start w:val="1"/>
      <w:numFmt w:val="bullet"/>
      <w:lvlText w:val=""/>
      <w:lvlJc w:val="left"/>
      <w:pPr>
        <w:ind w:left="420" w:hanging="420"/>
      </w:pPr>
      <w:rPr>
        <w:rFonts w:hint="default" w:ascii="Wingdings" w:hAnsi="Wingdings"/>
      </w:rPr>
    </w:lvl>
  </w:abstractNum>
  <w:abstractNum w:abstractNumId="6">
    <w:nsid w:val="25B654F3"/>
    <w:multiLevelType w:val="multilevel"/>
    <w:tmpl w:val="25B654F3"/>
    <w:lvl w:ilvl="0" w:tentative="0">
      <w:start w:val="8"/>
      <w:numFmt w:val="decimal"/>
      <w:lvlText w:val="%1"/>
      <w:lvlJc w:val="left"/>
      <w:pPr>
        <w:ind w:left="540" w:hanging="420"/>
      </w:pPr>
      <w:rPr>
        <w:rFonts w:hint="default"/>
        <w:lang w:val="zh-CN" w:eastAsia="zh-CN" w:bidi="zh-CN"/>
      </w:rPr>
    </w:lvl>
    <w:lvl w:ilvl="1" w:tentative="0">
      <w:start w:val="1"/>
      <w:numFmt w:val="decimal"/>
      <w:lvlText w:val="%1.%2"/>
      <w:lvlJc w:val="left"/>
      <w:pPr>
        <w:ind w:left="54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189" w:hanging="420"/>
      </w:pPr>
      <w:rPr>
        <w:rFonts w:hint="default"/>
        <w:lang w:val="zh-CN" w:eastAsia="zh-CN" w:bidi="zh-CN"/>
      </w:rPr>
    </w:lvl>
    <w:lvl w:ilvl="3" w:tentative="0">
      <w:start w:val="0"/>
      <w:numFmt w:val="bullet"/>
      <w:lvlText w:val="•"/>
      <w:lvlJc w:val="left"/>
      <w:pPr>
        <w:ind w:left="3013" w:hanging="420"/>
      </w:pPr>
      <w:rPr>
        <w:rFonts w:hint="default"/>
        <w:lang w:val="zh-CN" w:eastAsia="zh-CN" w:bidi="zh-CN"/>
      </w:rPr>
    </w:lvl>
    <w:lvl w:ilvl="4" w:tentative="0">
      <w:start w:val="0"/>
      <w:numFmt w:val="bullet"/>
      <w:lvlText w:val="•"/>
      <w:lvlJc w:val="left"/>
      <w:pPr>
        <w:ind w:left="3838"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487" w:hanging="420"/>
      </w:pPr>
      <w:rPr>
        <w:rFonts w:hint="default"/>
        <w:lang w:val="zh-CN" w:eastAsia="zh-CN" w:bidi="zh-CN"/>
      </w:rPr>
    </w:lvl>
    <w:lvl w:ilvl="7" w:tentative="0">
      <w:start w:val="0"/>
      <w:numFmt w:val="bullet"/>
      <w:lvlText w:val="•"/>
      <w:lvlJc w:val="left"/>
      <w:pPr>
        <w:ind w:left="6312" w:hanging="420"/>
      </w:pPr>
      <w:rPr>
        <w:rFonts w:hint="default"/>
        <w:lang w:val="zh-CN" w:eastAsia="zh-CN" w:bidi="zh-CN"/>
      </w:rPr>
    </w:lvl>
    <w:lvl w:ilvl="8" w:tentative="0">
      <w:start w:val="0"/>
      <w:numFmt w:val="bullet"/>
      <w:lvlText w:val="•"/>
      <w:lvlJc w:val="left"/>
      <w:pPr>
        <w:ind w:left="7137" w:hanging="420"/>
      </w:pPr>
      <w:rPr>
        <w:rFonts w:hint="default"/>
        <w:lang w:val="zh-CN" w:eastAsia="zh-CN" w:bidi="zh-CN"/>
      </w:r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 w:name="KSO_WPS_MARK_KEY" w:val="c7f9f768-62da-49b5-bbcb-359c42b44bb6"/>
  </w:docVars>
  <w:rsids>
    <w:rsidRoot w:val="00290920"/>
    <w:rsid w:val="000278DC"/>
    <w:rsid w:val="00032473"/>
    <w:rsid w:val="000414FB"/>
    <w:rsid w:val="000579A5"/>
    <w:rsid w:val="00063023"/>
    <w:rsid w:val="00066EC5"/>
    <w:rsid w:val="000747CD"/>
    <w:rsid w:val="000763E9"/>
    <w:rsid w:val="000C6A7D"/>
    <w:rsid w:val="000D0688"/>
    <w:rsid w:val="001175B4"/>
    <w:rsid w:val="00127AAA"/>
    <w:rsid w:val="00155C47"/>
    <w:rsid w:val="001C1FC1"/>
    <w:rsid w:val="001D376F"/>
    <w:rsid w:val="001E006E"/>
    <w:rsid w:val="001E1AAD"/>
    <w:rsid w:val="001F2EDE"/>
    <w:rsid w:val="002156C3"/>
    <w:rsid w:val="0024133D"/>
    <w:rsid w:val="00244132"/>
    <w:rsid w:val="0026017D"/>
    <w:rsid w:val="00263C88"/>
    <w:rsid w:val="00266EE3"/>
    <w:rsid w:val="002704DC"/>
    <w:rsid w:val="002903F9"/>
    <w:rsid w:val="00290920"/>
    <w:rsid w:val="002E4DCC"/>
    <w:rsid w:val="002E5836"/>
    <w:rsid w:val="0030225B"/>
    <w:rsid w:val="00313FC6"/>
    <w:rsid w:val="00314F32"/>
    <w:rsid w:val="0033239A"/>
    <w:rsid w:val="00333CDD"/>
    <w:rsid w:val="00352A54"/>
    <w:rsid w:val="0036038A"/>
    <w:rsid w:val="00376968"/>
    <w:rsid w:val="0037720E"/>
    <w:rsid w:val="003A0DB5"/>
    <w:rsid w:val="003D04CD"/>
    <w:rsid w:val="003F6CFA"/>
    <w:rsid w:val="0040402E"/>
    <w:rsid w:val="00405E2E"/>
    <w:rsid w:val="00436F89"/>
    <w:rsid w:val="00440CA5"/>
    <w:rsid w:val="00467DCB"/>
    <w:rsid w:val="004900E6"/>
    <w:rsid w:val="004922A4"/>
    <w:rsid w:val="004A161E"/>
    <w:rsid w:val="004C3541"/>
    <w:rsid w:val="004C63C2"/>
    <w:rsid w:val="004C70E1"/>
    <w:rsid w:val="004D63C4"/>
    <w:rsid w:val="004F1C97"/>
    <w:rsid w:val="004F1D71"/>
    <w:rsid w:val="005046FD"/>
    <w:rsid w:val="00510146"/>
    <w:rsid w:val="005670A0"/>
    <w:rsid w:val="005831C0"/>
    <w:rsid w:val="005B134C"/>
    <w:rsid w:val="005C44A5"/>
    <w:rsid w:val="005E0325"/>
    <w:rsid w:val="006511E0"/>
    <w:rsid w:val="00687D11"/>
    <w:rsid w:val="006C39B4"/>
    <w:rsid w:val="006C4684"/>
    <w:rsid w:val="006E5587"/>
    <w:rsid w:val="0070294B"/>
    <w:rsid w:val="007103E9"/>
    <w:rsid w:val="00724FE4"/>
    <w:rsid w:val="00735579"/>
    <w:rsid w:val="00766F3F"/>
    <w:rsid w:val="00774550"/>
    <w:rsid w:val="0077723D"/>
    <w:rsid w:val="007816F0"/>
    <w:rsid w:val="007A23A3"/>
    <w:rsid w:val="007B3F37"/>
    <w:rsid w:val="007B7DB6"/>
    <w:rsid w:val="007C62B6"/>
    <w:rsid w:val="007C6B63"/>
    <w:rsid w:val="007E5EB5"/>
    <w:rsid w:val="00825F7C"/>
    <w:rsid w:val="008520A4"/>
    <w:rsid w:val="00866AFB"/>
    <w:rsid w:val="008904FE"/>
    <w:rsid w:val="008B35E9"/>
    <w:rsid w:val="008C6E32"/>
    <w:rsid w:val="008D23AE"/>
    <w:rsid w:val="008F71D5"/>
    <w:rsid w:val="009033D2"/>
    <w:rsid w:val="00914DD8"/>
    <w:rsid w:val="00934E9D"/>
    <w:rsid w:val="009364BF"/>
    <w:rsid w:val="00956AE6"/>
    <w:rsid w:val="00963BF3"/>
    <w:rsid w:val="009A0267"/>
    <w:rsid w:val="009C1E21"/>
    <w:rsid w:val="009C7DA2"/>
    <w:rsid w:val="009D4009"/>
    <w:rsid w:val="009F692A"/>
    <w:rsid w:val="00A0460E"/>
    <w:rsid w:val="00A344BA"/>
    <w:rsid w:val="00A46435"/>
    <w:rsid w:val="00A616F0"/>
    <w:rsid w:val="00A76E38"/>
    <w:rsid w:val="00A84577"/>
    <w:rsid w:val="00AA3B11"/>
    <w:rsid w:val="00AB12C6"/>
    <w:rsid w:val="00AD3415"/>
    <w:rsid w:val="00B04DFD"/>
    <w:rsid w:val="00B10FBE"/>
    <w:rsid w:val="00B40D99"/>
    <w:rsid w:val="00B50488"/>
    <w:rsid w:val="00B82100"/>
    <w:rsid w:val="00BA7912"/>
    <w:rsid w:val="00BB0695"/>
    <w:rsid w:val="00BD1A31"/>
    <w:rsid w:val="00BD5D5F"/>
    <w:rsid w:val="00BE263E"/>
    <w:rsid w:val="00BF1915"/>
    <w:rsid w:val="00BF54B2"/>
    <w:rsid w:val="00C53042"/>
    <w:rsid w:val="00C550E0"/>
    <w:rsid w:val="00C7250B"/>
    <w:rsid w:val="00C87009"/>
    <w:rsid w:val="00CB539F"/>
    <w:rsid w:val="00CF08BE"/>
    <w:rsid w:val="00D10E9E"/>
    <w:rsid w:val="00D15940"/>
    <w:rsid w:val="00D26976"/>
    <w:rsid w:val="00D43431"/>
    <w:rsid w:val="00D43AC4"/>
    <w:rsid w:val="00D53882"/>
    <w:rsid w:val="00D67F19"/>
    <w:rsid w:val="00D825CA"/>
    <w:rsid w:val="00D96750"/>
    <w:rsid w:val="00DA2334"/>
    <w:rsid w:val="00DF7453"/>
    <w:rsid w:val="00E17C27"/>
    <w:rsid w:val="00E20AA2"/>
    <w:rsid w:val="00E228B5"/>
    <w:rsid w:val="00E4585B"/>
    <w:rsid w:val="00E676F7"/>
    <w:rsid w:val="00E71718"/>
    <w:rsid w:val="00E93DD6"/>
    <w:rsid w:val="00EC0C64"/>
    <w:rsid w:val="00EE28D9"/>
    <w:rsid w:val="00EE57D0"/>
    <w:rsid w:val="00F051A3"/>
    <w:rsid w:val="00F367C1"/>
    <w:rsid w:val="00F92607"/>
    <w:rsid w:val="00FA73EE"/>
    <w:rsid w:val="00FB1115"/>
    <w:rsid w:val="00FB3464"/>
    <w:rsid w:val="00FB62EB"/>
    <w:rsid w:val="01CC0D2F"/>
    <w:rsid w:val="0233386D"/>
    <w:rsid w:val="078141A1"/>
    <w:rsid w:val="092F39A0"/>
    <w:rsid w:val="0A3E3EAD"/>
    <w:rsid w:val="0B725406"/>
    <w:rsid w:val="0C130028"/>
    <w:rsid w:val="0D49488C"/>
    <w:rsid w:val="0EA16002"/>
    <w:rsid w:val="0FE35D42"/>
    <w:rsid w:val="0FF7412C"/>
    <w:rsid w:val="10045655"/>
    <w:rsid w:val="12EA7EB3"/>
    <w:rsid w:val="1338035F"/>
    <w:rsid w:val="13B660AC"/>
    <w:rsid w:val="13F866C4"/>
    <w:rsid w:val="147740A3"/>
    <w:rsid w:val="1546496A"/>
    <w:rsid w:val="193366D3"/>
    <w:rsid w:val="19874695"/>
    <w:rsid w:val="1C7C2F31"/>
    <w:rsid w:val="1CBE3427"/>
    <w:rsid w:val="1CC01D49"/>
    <w:rsid w:val="25B26321"/>
    <w:rsid w:val="274964AA"/>
    <w:rsid w:val="283D1FA7"/>
    <w:rsid w:val="287700A8"/>
    <w:rsid w:val="29A2793A"/>
    <w:rsid w:val="2A3A17DB"/>
    <w:rsid w:val="2AEF5665"/>
    <w:rsid w:val="2B7C79CC"/>
    <w:rsid w:val="2CA579D0"/>
    <w:rsid w:val="2CBA4A07"/>
    <w:rsid w:val="2FB5785D"/>
    <w:rsid w:val="2FDF7015"/>
    <w:rsid w:val="2FF5681A"/>
    <w:rsid w:val="30536D05"/>
    <w:rsid w:val="32E41261"/>
    <w:rsid w:val="32FB3683"/>
    <w:rsid w:val="336D632F"/>
    <w:rsid w:val="337D7BFA"/>
    <w:rsid w:val="34BF705E"/>
    <w:rsid w:val="353E47B7"/>
    <w:rsid w:val="35B949B8"/>
    <w:rsid w:val="36316DDB"/>
    <w:rsid w:val="36897924"/>
    <w:rsid w:val="37920A5A"/>
    <w:rsid w:val="3ADD38E3"/>
    <w:rsid w:val="3C5A3851"/>
    <w:rsid w:val="3C717AD6"/>
    <w:rsid w:val="403777BA"/>
    <w:rsid w:val="4050500F"/>
    <w:rsid w:val="443C73D9"/>
    <w:rsid w:val="45B778DE"/>
    <w:rsid w:val="45E76C5A"/>
    <w:rsid w:val="4B3612A5"/>
    <w:rsid w:val="4E976B74"/>
    <w:rsid w:val="4FB33D5B"/>
    <w:rsid w:val="52B379C6"/>
    <w:rsid w:val="52F45CCD"/>
    <w:rsid w:val="567D3FBF"/>
    <w:rsid w:val="594C43FA"/>
    <w:rsid w:val="59CA7788"/>
    <w:rsid w:val="5AAB13E3"/>
    <w:rsid w:val="5C2018E1"/>
    <w:rsid w:val="5C693288"/>
    <w:rsid w:val="612C2AD6"/>
    <w:rsid w:val="62E97EC7"/>
    <w:rsid w:val="67CF1053"/>
    <w:rsid w:val="70BE45D8"/>
    <w:rsid w:val="72574F44"/>
    <w:rsid w:val="72664F36"/>
    <w:rsid w:val="74B60BDD"/>
    <w:rsid w:val="74D63F18"/>
    <w:rsid w:val="757423F0"/>
    <w:rsid w:val="784A1D68"/>
    <w:rsid w:val="79E81839"/>
    <w:rsid w:val="7C8F536D"/>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120"/>
      <w:outlineLvl w:val="0"/>
    </w:pPr>
    <w:rPr>
      <w:sz w:val="28"/>
      <w:szCs w:val="28"/>
    </w:rPr>
  </w:style>
  <w:style w:type="paragraph" w:styleId="3">
    <w:name w:val="heading 2"/>
    <w:basedOn w:val="1"/>
    <w:next w:val="1"/>
    <w:qFormat/>
    <w:uiPriority w:val="1"/>
    <w:pPr>
      <w:ind w:right="240"/>
      <w:jc w:val="center"/>
      <w:outlineLvl w:val="1"/>
    </w:pPr>
    <w:rPr>
      <w:b/>
      <w:bCs/>
      <w:sz w:val="24"/>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0"/>
    <w:pPr>
      <w:jc w:val="left"/>
    </w:pPr>
  </w:style>
  <w:style w:type="paragraph" w:styleId="5">
    <w:name w:val="Body Text"/>
    <w:basedOn w:val="1"/>
    <w:qFormat/>
    <w:uiPriority w:val="1"/>
    <w:pPr>
      <w:ind w:left="120"/>
    </w:pPr>
    <w:rPr>
      <w:sz w:val="24"/>
      <w:szCs w:val="24"/>
    </w:rPr>
  </w:style>
  <w:style w:type="paragraph" w:styleId="6">
    <w:name w:val="Plain Text"/>
    <w:basedOn w:val="1"/>
    <w:link w:val="23"/>
    <w:qFormat/>
    <w:uiPriority w:val="0"/>
    <w:pPr>
      <w:autoSpaceDE/>
      <w:autoSpaceDN/>
      <w:jc w:val="both"/>
    </w:pPr>
    <w:rPr>
      <w:rFonts w:hAnsi="Courier New" w:cs="Times New Roman"/>
      <w:kern w:val="2"/>
      <w:sz w:val="21"/>
      <w:szCs w:val="24"/>
      <w:lang w:val="en-US" w:bidi="ar-SA"/>
    </w:rPr>
  </w:style>
  <w:style w:type="paragraph" w:styleId="7">
    <w:name w:val="Balloon Text"/>
    <w:basedOn w:val="1"/>
    <w:link w:val="21"/>
    <w:qFormat/>
    <w:uiPriority w:val="0"/>
    <w:rPr>
      <w:sz w:val="18"/>
      <w:szCs w:val="18"/>
    </w:rPr>
  </w:style>
  <w:style w:type="paragraph" w:styleId="8">
    <w:name w:val="footer"/>
    <w:basedOn w:val="1"/>
    <w:link w:val="19"/>
    <w:qFormat/>
    <w:uiPriority w:val="0"/>
    <w:pPr>
      <w:tabs>
        <w:tab w:val="center" w:pos="4153"/>
        <w:tab w:val="right" w:pos="8306"/>
      </w:tabs>
      <w:snapToGrid w:val="0"/>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spacing w:before="316"/>
      <w:ind w:right="238"/>
      <w:jc w:val="center"/>
    </w:pPr>
    <w:rPr>
      <w:sz w:val="24"/>
      <w:szCs w:val="24"/>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spacing w:before="4"/>
      <w:ind w:left="540" w:hanging="420"/>
    </w:pPr>
  </w:style>
  <w:style w:type="paragraph" w:customStyle="1" w:styleId="16">
    <w:name w:val="Table Paragraph"/>
    <w:basedOn w:val="1"/>
    <w:qFormat/>
    <w:uiPriority w:val="1"/>
    <w:pPr>
      <w:spacing w:before="156"/>
      <w:ind w:left="112"/>
    </w:pPr>
  </w:style>
  <w:style w:type="paragraph" w:customStyle="1" w:styleId="17">
    <w:name w:val="WPSOffice手动目录 1"/>
    <w:qFormat/>
    <w:uiPriority w:val="0"/>
    <w:rPr>
      <w:rFonts w:ascii="Times New Roman" w:hAnsi="Times New Roman" w:eastAsia="宋体" w:cs="Times New Roman"/>
      <w:lang w:val="en-US" w:eastAsia="zh-CN" w:bidi="ar-SA"/>
    </w:rPr>
  </w:style>
  <w:style w:type="character" w:customStyle="1" w:styleId="18">
    <w:name w:val="页眉 字符"/>
    <w:basedOn w:val="12"/>
    <w:link w:val="9"/>
    <w:qFormat/>
    <w:uiPriority w:val="0"/>
    <w:rPr>
      <w:rFonts w:ascii="宋体" w:hAnsi="宋体" w:cs="宋体"/>
      <w:sz w:val="18"/>
      <w:szCs w:val="18"/>
      <w:lang w:val="zh-CN" w:bidi="zh-CN"/>
    </w:rPr>
  </w:style>
  <w:style w:type="character" w:customStyle="1" w:styleId="19">
    <w:name w:val="页脚 字符"/>
    <w:basedOn w:val="12"/>
    <w:link w:val="8"/>
    <w:qFormat/>
    <w:uiPriority w:val="0"/>
    <w:rPr>
      <w:rFonts w:ascii="宋体" w:hAnsi="宋体" w:cs="宋体"/>
      <w:sz w:val="18"/>
      <w:szCs w:val="18"/>
      <w:lang w:val="zh-CN" w:bidi="zh-CN"/>
    </w:rPr>
  </w:style>
  <w:style w:type="paragraph" w:customStyle="1" w:styleId="20">
    <w:name w:val="TOC 标题1"/>
    <w:basedOn w:val="2"/>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376092" w:themeColor="accent1" w:themeShade="BF"/>
      <w:sz w:val="32"/>
      <w:szCs w:val="32"/>
      <w:lang w:val="en-US" w:bidi="ar-SA"/>
    </w:rPr>
  </w:style>
  <w:style w:type="character" w:customStyle="1" w:styleId="21">
    <w:name w:val="批注框文本 字符"/>
    <w:basedOn w:val="12"/>
    <w:link w:val="7"/>
    <w:qFormat/>
    <w:uiPriority w:val="0"/>
    <w:rPr>
      <w:rFonts w:ascii="宋体" w:hAnsi="宋体" w:cs="宋体"/>
      <w:sz w:val="18"/>
      <w:szCs w:val="18"/>
      <w:lang w:val="zh-CN" w:bidi="zh-CN"/>
    </w:rPr>
  </w:style>
  <w:style w:type="paragraph" w:customStyle="1" w:styleId="22">
    <w:name w:val="Heading 11"/>
    <w:basedOn w:val="1"/>
    <w:qFormat/>
    <w:uiPriority w:val="99"/>
    <w:pPr>
      <w:autoSpaceDE/>
      <w:autoSpaceDN/>
      <w:outlineLvl w:val="1"/>
    </w:pPr>
    <w:rPr>
      <w:rFonts w:ascii="黑体" w:hAnsi="黑体" w:eastAsia="黑体" w:cs="Times New Roman"/>
      <w:sz w:val="32"/>
      <w:szCs w:val="32"/>
      <w:lang w:val="en-US" w:eastAsia="en-US" w:bidi="ar-SA"/>
    </w:rPr>
  </w:style>
  <w:style w:type="character" w:customStyle="1" w:styleId="23">
    <w:name w:val="纯文本 字符"/>
    <w:basedOn w:val="12"/>
    <w:link w:val="6"/>
    <w:qFormat/>
    <w:uiPriority w:val="0"/>
    <w:rPr>
      <w:rFonts w:ascii="宋体" w:hAnsi="Courier New"/>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20</Pages>
  <Words>4093</Words>
  <Characters>4155</Characters>
  <Lines>110</Lines>
  <Paragraphs>31</Paragraphs>
  <TotalTime>1</TotalTime>
  <ScaleCrop>false</ScaleCrop>
  <LinksUpToDate>false</LinksUpToDate>
  <CharactersWithSpaces>4197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2019-06-04T02:04:00Z</dcterms:created>
  <dc:creator>尚丹</dc:creator>
  <cp:lastModifiedBy>车轮上的清道夫</cp:lastModifiedBy>
  <cp:lastPrinted>2019-11-19T12:09:00Z</cp:lastPrinted>
  <dcterms:modified xsi:type="dcterms:W3CDTF">2024-12-18T20:37:39Z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15 Word 版</vt:lpwstr>
  </property>
  <property fmtid="{D5CDD505-2E9C-101B-9397-08002B2CF9AE}" pid="4" name="LastSaved">
    <vt:filetime>2019-06-04T00:00:00Z</vt:filetime>
  </property>
  <property fmtid="{D5CDD505-2E9C-101B-9397-08002B2CF9AE}" pid="5" name="KSOProductBuildVer">
    <vt:lpwstr>2052-12.1.0.18912</vt:lpwstr>
  </property>
  <property fmtid="{D5CDD505-2E9C-101B-9397-08002B2CF9AE}" pid="6" name="ICV">
    <vt:lpwstr>E9E5930566F04BF6BCE4589860A4E533_13</vt:lpwstr>
  </property>
</Properties>
</file>